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extended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1000000">
      <w:pPr>
        <w:rPr>
          <w:sz w:val="26"/>
        </w:rPr>
      </w:pPr>
      <w:r>
        <w:t xml:space="preserve">                                                                      </w:t>
      </w:r>
      <w:r>
        <w:t xml:space="preserve">              </w:t>
      </w:r>
      <w:r>
        <w:rPr>
          <w:sz w:val="26"/>
        </w:rPr>
        <w:t>УТВЕРЖДАЮ</w:t>
      </w:r>
    </w:p>
    <w:p w14:paraId="02000000">
      <w:pPr>
        <w:rPr>
          <w:color w:val="FF0000"/>
          <w:sz w:val="26"/>
        </w:rPr>
      </w:pPr>
      <w:r>
        <w:rPr>
          <w:sz w:val="26"/>
        </w:rPr>
        <w:t xml:space="preserve">                                                                              Заместитель н</w:t>
      </w:r>
      <w:r>
        <w:rPr>
          <w:sz w:val="26"/>
        </w:rPr>
        <w:t>ачальник</w:t>
      </w:r>
      <w:r>
        <w:rPr>
          <w:sz w:val="26"/>
        </w:rPr>
        <w:t>а</w:t>
      </w:r>
      <w:r>
        <w:rPr>
          <w:color w:val="FF0000"/>
          <w:sz w:val="26"/>
        </w:rPr>
        <w:t xml:space="preserve"> </w:t>
      </w:r>
    </w:p>
    <w:p w14:paraId="03000000">
      <w:pPr>
        <w:rPr>
          <w:sz w:val="26"/>
        </w:rPr>
      </w:pPr>
      <w:r>
        <w:rPr>
          <w:color w:val="FF0000"/>
          <w:sz w:val="26"/>
        </w:rPr>
        <w:t xml:space="preserve">                                                            </w:t>
      </w:r>
      <w:r>
        <w:rPr>
          <w:color w:val="FF0000"/>
          <w:sz w:val="26"/>
        </w:rPr>
        <w:t xml:space="preserve">                  </w:t>
      </w:r>
      <w:r>
        <w:rPr>
          <w:sz w:val="26"/>
        </w:rPr>
        <w:t>Межрайонной инспекции</w:t>
      </w:r>
    </w:p>
    <w:p w14:paraId="04000000">
      <w:pPr>
        <w:rPr>
          <w:sz w:val="26"/>
        </w:rPr>
      </w:pPr>
      <w:r>
        <w:rPr>
          <w:sz w:val="26"/>
        </w:rPr>
        <w:t xml:space="preserve">                                                                              Федеральной налоговой службы № 40</w:t>
      </w:r>
    </w:p>
    <w:p w14:paraId="05000000">
      <w:pPr>
        <w:rPr>
          <w:sz w:val="26"/>
        </w:rPr>
      </w:pPr>
      <w:r>
        <w:rPr>
          <w:sz w:val="26"/>
        </w:rPr>
        <w:t xml:space="preserve">                                                                              по Республике Башкортостан</w:t>
      </w:r>
      <w:r>
        <w:rPr>
          <w:sz w:val="26"/>
        </w:rPr>
        <w:t xml:space="preserve">                                             </w:t>
      </w:r>
    </w:p>
    <w:p w14:paraId="06000000">
      <w:pPr>
        <w:ind/>
        <w:jc w:val="center"/>
        <w:rPr>
          <w:sz w:val="26"/>
        </w:rPr>
      </w:pPr>
      <w:r>
        <w:rPr>
          <w:sz w:val="26"/>
        </w:rPr>
        <w:t xml:space="preserve">                                                          ______________ В.М.Имангулов</w:t>
      </w:r>
      <w:r>
        <w:rPr>
          <w:color w:val="FF0000"/>
          <w:sz w:val="26"/>
        </w:rPr>
        <w:t xml:space="preserve">                                              </w:t>
      </w:r>
    </w:p>
    <w:p w14:paraId="07000000">
      <w:pPr>
        <w:pStyle w:val="Style_1"/>
        <w:spacing w:after="0" w:before="0"/>
        <w:ind/>
      </w:pPr>
      <w:r>
        <w:rPr>
          <w:sz w:val="26"/>
        </w:rPr>
        <w:t xml:space="preserve">                                                                             </w:t>
      </w:r>
      <w:r>
        <w:rPr>
          <w:sz w:val="26"/>
        </w:rPr>
        <w:t xml:space="preserve">  </w:t>
      </w:r>
      <w:r>
        <w:rPr>
          <w:sz w:val="26"/>
        </w:rPr>
        <w:t>от "</w:t>
      </w:r>
      <w:r>
        <w:rPr>
          <w:sz w:val="26"/>
        </w:rPr>
        <w:t>___</w:t>
      </w:r>
      <w:r>
        <w:rPr>
          <w:sz w:val="26"/>
        </w:rPr>
        <w:t xml:space="preserve">" </w:t>
      </w:r>
      <w:r>
        <w:rPr>
          <w:sz w:val="26"/>
        </w:rPr>
        <w:t>_________</w:t>
      </w:r>
      <w:r>
        <w:rPr>
          <w:sz w:val="26"/>
        </w:rPr>
        <w:t xml:space="preserve"> 2021</w:t>
      </w:r>
      <w:r>
        <w:rPr>
          <w:sz w:val="26"/>
        </w:rPr>
        <w:t>г.</w:t>
      </w:r>
    </w:p>
    <w:p w14:paraId="08000000">
      <w:pPr>
        <w:pStyle w:val="Style_1"/>
        <w:spacing w:after="0" w:before="0"/>
        <w:ind/>
      </w:pPr>
    </w:p>
    <w:p w14:paraId="09000000">
      <w:pPr>
        <w:pStyle w:val="Style_1"/>
        <w:spacing w:after="0" w:before="0"/>
        <w:ind/>
      </w:pPr>
    </w:p>
    <w:p w14:paraId="0A000000">
      <w:pPr>
        <w:pStyle w:val="Style_1"/>
        <w:spacing w:after="0" w:before="0"/>
        <w:ind/>
        <w:rPr>
          <w:sz w:val="28"/>
        </w:rPr>
      </w:pPr>
    </w:p>
    <w:p w14:paraId="0B000000">
      <w:pPr>
        <w:pStyle w:val="Style_1"/>
        <w:spacing w:after="0" w:before="0"/>
        <w:ind/>
        <w:jc w:val="center"/>
        <w:rPr>
          <w:b w:val="1"/>
          <w:sz w:val="26"/>
        </w:rPr>
      </w:pPr>
      <w:r>
        <w:rPr>
          <w:b w:val="1"/>
          <w:sz w:val="26"/>
        </w:rPr>
        <w:t>Должностной регламент</w:t>
      </w:r>
    </w:p>
    <w:p w14:paraId="0C000000">
      <w:pPr>
        <w:pStyle w:val="Style_1"/>
        <w:spacing w:after="0" w:before="0"/>
        <w:ind/>
        <w:jc w:val="center"/>
        <w:rPr>
          <w:b w:val="1"/>
          <w:sz w:val="26"/>
        </w:rPr>
      </w:pPr>
      <w:r>
        <w:rPr>
          <w:b w:val="1"/>
          <w:sz w:val="26"/>
        </w:rPr>
        <w:t xml:space="preserve">Главного государственного налогового инспектора </w:t>
      </w:r>
      <w:r>
        <w:rPr>
          <w:b w:val="1"/>
          <w:sz w:val="26"/>
        </w:rPr>
        <w:t xml:space="preserve"> отдела </w:t>
      </w:r>
      <w:r>
        <w:rPr>
          <w:b w:val="1"/>
          <w:sz w:val="26"/>
        </w:rPr>
        <w:t>учета и работы с налогоплательщиками</w:t>
      </w:r>
      <w:r>
        <w:rPr>
          <w:b w:val="1"/>
          <w:sz w:val="26"/>
        </w:rPr>
        <w:t xml:space="preserve"> </w:t>
      </w:r>
      <w:r>
        <w:rPr>
          <w:b w:val="1"/>
          <w:sz w:val="26"/>
        </w:rPr>
        <w:t>Межрайонной инспекции Федеральной налоговой службы №40</w:t>
      </w:r>
    </w:p>
    <w:p w14:paraId="0D000000">
      <w:pPr>
        <w:pStyle w:val="Style_1"/>
        <w:spacing w:after="0" w:before="0"/>
        <w:ind/>
        <w:jc w:val="center"/>
        <w:rPr>
          <w:b w:val="1"/>
          <w:sz w:val="26"/>
        </w:rPr>
      </w:pPr>
      <w:r>
        <w:rPr>
          <w:b w:val="1"/>
          <w:sz w:val="26"/>
        </w:rPr>
        <w:t>по Республике Башкортостан</w:t>
      </w:r>
    </w:p>
    <w:p w14:paraId="0E000000">
      <w:pPr>
        <w:pStyle w:val="Style_1"/>
        <w:spacing w:after="0" w:before="0" w:line="276" w:lineRule="auto"/>
        <w:ind/>
        <w:jc w:val="both"/>
        <w:rPr>
          <w:sz w:val="26"/>
        </w:rPr>
      </w:pPr>
    </w:p>
    <w:p w14:paraId="0F000000">
      <w:pPr>
        <w:pStyle w:val="Style_1"/>
        <w:spacing w:after="0" w:before="0" w:line="276" w:lineRule="auto"/>
        <w:ind/>
        <w:jc w:val="center"/>
        <w:rPr>
          <w:b w:val="1"/>
        </w:rPr>
      </w:pPr>
      <w:r>
        <w:rPr>
          <w:b w:val="1"/>
        </w:rPr>
        <w:t>I</w:t>
      </w:r>
      <w:r>
        <w:rPr>
          <w:b w:val="1"/>
        </w:rPr>
        <w:t>. Общие положения</w:t>
      </w:r>
    </w:p>
    <w:p w14:paraId="10000000">
      <w:pPr>
        <w:pStyle w:val="Style_1"/>
        <w:spacing w:after="0" w:before="0" w:line="276" w:lineRule="auto"/>
        <w:ind w:firstLine="567" w:right="163"/>
        <w:jc w:val="both"/>
      </w:pPr>
    </w:p>
    <w:p w14:paraId="11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 xml:space="preserve">1. Должность федеральной государственной гражданской службы (далее – гражданская служба) </w:t>
      </w:r>
      <w:r>
        <w:rPr>
          <w:sz w:val="26"/>
        </w:rPr>
        <w:t>главного</w:t>
      </w:r>
      <w:r>
        <w:rPr>
          <w:sz w:val="26"/>
        </w:rPr>
        <w:t xml:space="preserve"> </w:t>
      </w:r>
      <w:r>
        <w:rPr>
          <w:sz w:val="26"/>
        </w:rPr>
        <w:t xml:space="preserve">государственного налогового </w:t>
      </w:r>
      <w:r>
        <w:rPr>
          <w:sz w:val="26"/>
        </w:rPr>
        <w:t>инспектора</w:t>
      </w:r>
      <w:r>
        <w:rPr>
          <w:sz w:val="26"/>
        </w:rPr>
        <w:t xml:space="preserve"> </w:t>
      </w:r>
      <w:r>
        <w:rPr>
          <w:sz w:val="26"/>
        </w:rPr>
        <w:t xml:space="preserve">отдела </w:t>
      </w:r>
      <w:r>
        <w:rPr>
          <w:sz w:val="26"/>
        </w:rPr>
        <w:t xml:space="preserve"> учета и работы с налогоплательщиками</w:t>
      </w:r>
      <w:r>
        <w:rPr>
          <w:sz w:val="26"/>
        </w:rPr>
        <w:t xml:space="preserve"> Межрайонной инспекции Ф</w:t>
      </w:r>
      <w:r>
        <w:rPr>
          <w:sz w:val="26"/>
        </w:rPr>
        <w:t>едеральной налоговой службы №40 по Республике Башкортостан (далее –</w:t>
      </w:r>
      <w:r>
        <w:rPr>
          <w:sz w:val="26"/>
        </w:rPr>
        <w:t xml:space="preserve"> </w:t>
      </w:r>
      <w:r>
        <w:rPr>
          <w:sz w:val="26"/>
        </w:rPr>
        <w:t>главный</w:t>
      </w:r>
      <w:r>
        <w:rPr>
          <w:sz w:val="26"/>
        </w:rPr>
        <w:t xml:space="preserve"> </w:t>
      </w:r>
      <w:r>
        <w:rPr>
          <w:sz w:val="26"/>
        </w:rPr>
        <w:t>государственный налоговый инспектор</w:t>
      </w:r>
      <w:r>
        <w:rPr>
          <w:sz w:val="26"/>
        </w:rPr>
        <w:t>) относится к ведущей группе должностей гражданской службы категории «</w:t>
      </w:r>
      <w:r>
        <w:rPr>
          <w:sz w:val="26"/>
        </w:rPr>
        <w:t>специалисты</w:t>
      </w:r>
      <w:r>
        <w:rPr>
          <w:sz w:val="26"/>
        </w:rPr>
        <w:t>».</w:t>
      </w:r>
    </w:p>
    <w:p w14:paraId="12000000">
      <w:pPr>
        <w:pStyle w:val="Style_1"/>
        <w:spacing w:after="0" w:before="0" w:line="276" w:lineRule="auto"/>
        <w:ind/>
        <w:rPr>
          <w:sz w:val="26"/>
        </w:rPr>
      </w:pPr>
      <w:r>
        <w:rPr>
          <w:sz w:val="26"/>
        </w:rPr>
        <w:t xml:space="preserve">Регистрационный номер (код) должности - </w:t>
      </w:r>
      <w:r>
        <w:rPr>
          <w:sz w:val="26"/>
        </w:rPr>
        <w:t>11-3-3-094</w:t>
      </w:r>
    </w:p>
    <w:p w14:paraId="13000000">
      <w:pPr>
        <w:widowControl w:val="0"/>
        <w:ind w:firstLine="567" w:right="163"/>
        <w:jc w:val="both"/>
        <w:rPr>
          <w:rFonts w:ascii="Times New Roman CYR" w:hAnsi="Times New Roman CYR"/>
          <w:sz w:val="26"/>
        </w:rPr>
      </w:pPr>
      <w:r>
        <w:rPr>
          <w:rFonts w:ascii="Times New Roman CYR" w:hAnsi="Times New Roman CYR"/>
          <w:sz w:val="26"/>
        </w:rPr>
        <w:t xml:space="preserve">2. Область профессиональной служебной деятельности </w:t>
      </w:r>
      <w:r>
        <w:rPr>
          <w:rFonts w:ascii="Times New Roman CYR" w:hAnsi="Times New Roman CYR"/>
          <w:sz w:val="26"/>
        </w:rPr>
        <w:t>главного государственного налогового инспектора</w:t>
      </w:r>
      <w:r>
        <w:rPr>
          <w:rFonts w:ascii="Times New Roman CYR" w:hAnsi="Times New Roman CYR"/>
          <w:sz w:val="26"/>
        </w:rPr>
        <w:t xml:space="preserve">: </w:t>
      </w:r>
      <w:r>
        <w:rPr>
          <w:rFonts w:ascii="Times New Roman CYR" w:hAnsi="Times New Roman CYR"/>
          <w:sz w:val="26"/>
        </w:rPr>
        <w:t>регулирование налоговой  деятельности.</w:t>
      </w:r>
    </w:p>
    <w:p w14:paraId="14000000">
      <w:pPr>
        <w:widowControl w:val="0"/>
        <w:ind w:firstLine="567" w:right="163"/>
        <w:jc w:val="both"/>
        <w:rPr>
          <w:rFonts w:ascii="Times New Roman CYR" w:hAnsi="Times New Roman CYR"/>
          <w:sz w:val="26"/>
        </w:rPr>
      </w:pPr>
      <w:r>
        <w:rPr>
          <w:rFonts w:ascii="Times New Roman CYR" w:hAnsi="Times New Roman CYR"/>
          <w:sz w:val="26"/>
        </w:rPr>
        <w:t xml:space="preserve">3. Вид профессиональной служебной деятельности </w:t>
      </w:r>
      <w:r>
        <w:rPr>
          <w:rFonts w:ascii="Times New Roman CYR" w:hAnsi="Times New Roman CYR"/>
          <w:sz w:val="26"/>
        </w:rPr>
        <w:t>главного государственного налогового инспектора</w:t>
      </w:r>
      <w:r>
        <w:rPr>
          <w:rFonts w:ascii="Times New Roman CYR" w:hAnsi="Times New Roman CYR"/>
          <w:sz w:val="26"/>
        </w:rPr>
        <w:t xml:space="preserve">: </w:t>
      </w:r>
      <w:r>
        <w:rPr>
          <w:rFonts w:ascii="Times New Roman CYR" w:hAnsi="Times New Roman CYR"/>
          <w:sz w:val="26"/>
        </w:rPr>
        <w:t>осуществление учета налогоплательщиков.</w:t>
      </w:r>
    </w:p>
    <w:p w14:paraId="15000000">
      <w:pPr>
        <w:widowControl w:val="0"/>
        <w:ind w:firstLine="567" w:right="163"/>
        <w:jc w:val="both"/>
        <w:rPr>
          <w:rFonts w:ascii="Times New Roman CYR" w:hAnsi="Times New Roman CYR"/>
          <w:sz w:val="26"/>
        </w:rPr>
      </w:pPr>
      <w:r>
        <w:rPr>
          <w:rFonts w:ascii="Times New Roman CYR" w:hAnsi="Times New Roman CYR"/>
          <w:sz w:val="26"/>
        </w:rPr>
        <w:t xml:space="preserve">4. Назначение на должность и освобождение от </w:t>
      </w:r>
      <w:r>
        <w:rPr>
          <w:rFonts w:ascii="Times New Roman CYR" w:hAnsi="Times New Roman CYR"/>
          <w:sz w:val="26"/>
        </w:rPr>
        <w:t>должности главного государственного налогового инспектора</w:t>
      </w:r>
      <w:r>
        <w:rPr>
          <w:rFonts w:ascii="Times New Roman CYR" w:hAnsi="Times New Roman CYR"/>
          <w:sz w:val="26"/>
        </w:rPr>
        <w:t xml:space="preserve"> осуществляется </w:t>
      </w:r>
      <w:r>
        <w:rPr>
          <w:rFonts w:ascii="Times New Roman CYR" w:hAnsi="Times New Roman CYR"/>
          <w:sz w:val="26"/>
        </w:rPr>
        <w:t>начальником Межрайонной ИФНС России № 40 по Республике Башкортостан.</w:t>
      </w:r>
    </w:p>
    <w:p w14:paraId="16000000">
      <w:pPr>
        <w:widowControl w:val="0"/>
        <w:ind w:firstLine="567" w:right="163"/>
        <w:jc w:val="both"/>
        <w:rPr>
          <w:rFonts w:ascii="Times New Roman CYR" w:hAnsi="Times New Roman CYR"/>
          <w:sz w:val="26"/>
        </w:rPr>
      </w:pPr>
      <w:r>
        <w:rPr>
          <w:rFonts w:ascii="Times New Roman CYR" w:hAnsi="Times New Roman CYR"/>
          <w:sz w:val="26"/>
        </w:rPr>
        <w:t xml:space="preserve">5. </w:t>
      </w:r>
      <w:r>
        <w:rPr>
          <w:rFonts w:ascii="Times New Roman CYR" w:hAnsi="Times New Roman CYR"/>
          <w:sz w:val="26"/>
        </w:rPr>
        <w:t xml:space="preserve">Главный государственный налоговый инспектор </w:t>
      </w:r>
      <w:r>
        <w:rPr>
          <w:rFonts w:ascii="Times New Roman CYR" w:hAnsi="Times New Roman CYR"/>
          <w:sz w:val="26"/>
        </w:rPr>
        <w:t xml:space="preserve">непосредственно подчиняется начальнику </w:t>
      </w:r>
      <w:r>
        <w:rPr>
          <w:sz w:val="26"/>
        </w:rPr>
        <w:t xml:space="preserve">отдела </w:t>
      </w:r>
      <w:r>
        <w:rPr>
          <w:sz w:val="26"/>
        </w:rPr>
        <w:t xml:space="preserve"> учета и работы с налогоплательщиками</w:t>
      </w:r>
      <w:r>
        <w:rPr>
          <w:rFonts w:ascii="Times New Roman CYR" w:hAnsi="Times New Roman CYR"/>
          <w:sz w:val="26"/>
        </w:rPr>
        <w:t xml:space="preserve"> Межрайонной ИФНС России № 40 по республике Башкортостан</w:t>
      </w:r>
      <w:r>
        <w:rPr>
          <w:rFonts w:ascii="Times New Roman CYR" w:hAnsi="Times New Roman CYR"/>
          <w:sz w:val="26"/>
        </w:rPr>
        <w:t>.</w:t>
      </w:r>
    </w:p>
    <w:p w14:paraId="17000000">
      <w:pPr>
        <w:widowControl w:val="0"/>
        <w:ind w:firstLine="567" w:right="163"/>
        <w:jc w:val="both"/>
        <w:rPr>
          <w:rFonts w:ascii="Times New Roman CYR" w:hAnsi="Times New Roman CYR"/>
          <w:sz w:val="26"/>
        </w:rPr>
      </w:pPr>
    </w:p>
    <w:p w14:paraId="18000000">
      <w:pPr>
        <w:widowControl w:val="0"/>
        <w:ind w:firstLine="567" w:right="163"/>
        <w:jc w:val="center"/>
        <w:rPr>
          <w:rFonts w:ascii="Times New Roman CYR" w:hAnsi="Times New Roman CYR"/>
          <w:b w:val="1"/>
          <w:sz w:val="26"/>
        </w:rPr>
      </w:pPr>
      <w:r>
        <w:rPr>
          <w:rFonts w:ascii="Times New Roman CYR" w:hAnsi="Times New Roman CYR"/>
          <w:b w:val="1"/>
          <w:sz w:val="26"/>
        </w:rPr>
        <w:t xml:space="preserve">II. Квалификационные требования </w:t>
      </w:r>
      <w:r>
        <w:rPr>
          <w:rFonts w:ascii="Times New Roman CYR" w:hAnsi="Times New Roman CYR"/>
          <w:b w:val="1"/>
          <w:sz w:val="26"/>
        </w:rPr>
        <w:t>для замещения должности гражданской службы</w:t>
      </w:r>
    </w:p>
    <w:p w14:paraId="19000000">
      <w:pPr>
        <w:widowControl w:val="0"/>
        <w:ind w:firstLine="567" w:right="163"/>
        <w:jc w:val="both"/>
        <w:rPr>
          <w:rFonts w:ascii="Times New Roman CYR" w:hAnsi="Times New Roman CYR"/>
          <w:b w:val="1"/>
          <w:sz w:val="26"/>
        </w:rPr>
      </w:pPr>
    </w:p>
    <w:p w14:paraId="1A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 xml:space="preserve">6. Для замещения должности </w:t>
      </w:r>
      <w:r>
        <w:rPr>
          <w:sz w:val="26"/>
        </w:rPr>
        <w:t>главного государственного налогового инспектора</w:t>
      </w:r>
      <w:r>
        <w:rPr>
          <w:sz w:val="26"/>
        </w:rPr>
        <w:t xml:space="preserve"> устанавливаются следующие требования.</w:t>
      </w:r>
    </w:p>
    <w:p w14:paraId="1B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 xml:space="preserve">6.1. </w:t>
      </w:r>
      <w:r>
        <w:rPr>
          <w:sz w:val="26"/>
        </w:rPr>
        <w:t>Наличие высшего образования не ниже уровня бакалавриата .</w:t>
      </w:r>
    </w:p>
    <w:p w14:paraId="1C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14:paraId="1D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>6.3. Наличие профессиональных знаний:</w:t>
      </w:r>
    </w:p>
    <w:p w14:paraId="1E000000">
      <w:pPr>
        <w:pStyle w:val="Style_1"/>
        <w:spacing w:after="0" w:before="0"/>
        <w:ind w:firstLine="567" w:right="164"/>
        <w:jc w:val="both"/>
        <w:rPr>
          <w:sz w:val="26"/>
        </w:rPr>
      </w:pPr>
      <w:r>
        <w:rPr>
          <w:sz w:val="26"/>
        </w:rPr>
        <w:t>6.3.1. В сфере законодательства Российской Федерации:</w:t>
      </w:r>
    </w:p>
    <w:p w14:paraId="1F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 xml:space="preserve">Налоговый кодекс Российской Федерации; </w:t>
      </w:r>
    </w:p>
    <w:p w14:paraId="20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Федеральный закон от 08.08.2001 № 129-ФЗ «О государственной регистрации юридических лиц и индивидуальных предпринимателей»;</w:t>
      </w:r>
    </w:p>
    <w:p w14:paraId="21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Федеральный закон от 27.07.2006 № 125-ФЗ «О персональных данных»;</w:t>
      </w:r>
    </w:p>
    <w:p w14:paraId="22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ФНС России от 28.11.2014 № ММВ-7-12/607@ «Об утверждении миссии и основных направлений деятельности Федеральной налоговой службы»;</w:t>
      </w:r>
    </w:p>
    <w:p w14:paraId="23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Закон Российской Федерации от 21.03.1991 № 943-1 «О налоговых органах Российской Федерации»;</w:t>
      </w:r>
    </w:p>
    <w:p w14:paraId="24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Постановление Правительства Российской Федерации от 30.09.2004 № 506 «Об утверждении Положения о Федеральной налоговой службе»;</w:t>
      </w:r>
    </w:p>
    <w:p w14:paraId="25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Гражданский кодекс Российской Федерации;</w:t>
      </w:r>
    </w:p>
    <w:p w14:paraId="26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Федеральный закон от 08.08.1998 № 14-ФЗ «Об обществах с ограниченной ответственностью»;</w:t>
      </w:r>
    </w:p>
    <w:p w14:paraId="27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Федеральный закон от 26.12.1995 № 208-ФЗ «Об акционерных обществах»;</w:t>
      </w:r>
    </w:p>
    <w:p w14:paraId="28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Федеральный закон от 11.06.2003 № 74-ФЗ «О крестьянском (фермерском) хозяйстве»;</w:t>
      </w:r>
    </w:p>
    <w:p w14:paraId="29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Федерального закона от 27.07.2010 № 210-ФЗ «Об организации предоставления государственных и муниципальных услуг»;</w:t>
      </w:r>
    </w:p>
    <w:p w14:paraId="2A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Федеральный закон от 10.12.2003 № 173-ФЗ «О валютном регулировании и валютном контроле»;</w:t>
      </w:r>
    </w:p>
    <w:p w14:paraId="2B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Федеральный закон от 24.07.2007 № 209-ФЗ «О развитии малого и среднего предпринимательства в Российской Федерации»;</w:t>
      </w:r>
    </w:p>
    <w:p w14:paraId="2C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постановление Правительства Российской Федерации от 22.12.2011 №</w:t>
      </w:r>
      <w:r>
        <w:rPr>
          <w:sz w:val="26"/>
        </w:rPr>
        <w:t> </w:t>
      </w:r>
      <w:r>
        <w:rPr>
          <w:sz w:val="26"/>
        </w:rPr>
        <w:t>1092 «О 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14:paraId="2D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постановление Правительства Российской Федерации от 19.05.2014 № 462 «О 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14:paraId="2E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постановление Правительства Российской Федерации от 03.07.2014 № 615 «Об 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14:paraId="2F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постановление Правительства Российской Федерации от 25.12.2014 №</w:t>
      </w:r>
      <w:r>
        <w:rPr>
          <w:sz w:val="26"/>
        </w:rPr>
        <w:t> </w:t>
      </w:r>
      <w:r>
        <w:rPr>
          <w:sz w:val="26"/>
        </w:rPr>
        <w:t>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</w:p>
    <w:p w14:paraId="30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Минфина России от 08.04.2005 № 55н «О порядке постановки на учет налогоплательщиков налога на игорный бизнес»;</w:t>
      </w:r>
    </w:p>
    <w:p w14:paraId="31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 xml:space="preserve">приказ Минфина России от 11.07.2005 № 85н «Об утверждении особенностей постановки на учет крупнейших налогоплательщиков» </w:t>
      </w:r>
    </w:p>
    <w:p w14:paraId="32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Минфина России от 05.11.2009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14:paraId="33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 xml:space="preserve">приказ Минфина России от 30.09.2010 № 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 </w:t>
      </w:r>
    </w:p>
    <w:p w14:paraId="34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Минфина России от 22.06.2017 № 99н «Об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</w:t>
      </w:r>
      <w:r>
        <w:rPr>
          <w:sz w:val="26"/>
        </w:rPr>
        <w:t> </w:t>
      </w:r>
      <w:r>
        <w:rPr>
          <w:sz w:val="26"/>
        </w:rPr>
        <w:t>30</w:t>
      </w:r>
      <w:r>
        <w:rPr>
          <w:sz w:val="26"/>
        </w:rPr>
        <w:t> </w:t>
      </w:r>
      <w:r>
        <w:rPr>
          <w:sz w:val="26"/>
        </w:rPr>
        <w:t>сентября 2010 г. № 116н и от 7 сентября 2011 г. № 106н»;</w:t>
      </w:r>
    </w:p>
    <w:p w14:paraId="35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Минфина России от 21.10.2010 № 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14:paraId="36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Минфина России от 22.06.2012 № 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14:paraId="37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Минфина России от 30.12.2014 № 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14:paraId="38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Минфина России от 30.12.2014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14:paraId="39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Минфина России от 15.01.2015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14:paraId="3A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Минфина России от 18.02.2015 № 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</w:p>
    <w:p w14:paraId="3B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Минюста России от 12.11.2010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</w:t>
      </w:r>
    </w:p>
    <w:p w14:paraId="3C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МНС России от 03.03.2004 № 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</w:t>
      </w:r>
    </w:p>
    <w:p w14:paraId="3D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МНС России от 17.03.2004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</w:t>
      </w:r>
    </w:p>
    <w:p w14:paraId="3E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ФНС России от 25.01.2012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14:paraId="3F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ФНС России от 29.06.2012 № 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14:paraId="40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ФНС России от 13.11.2012 № ММВ-7-6/843@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предпринимателей»;</w:t>
      </w:r>
    </w:p>
    <w:p w14:paraId="41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ФНС России от 23.05.2014 № 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</w:t>
      </w:r>
      <w:r>
        <w:rPr>
          <w:sz w:val="26"/>
        </w:rPr>
        <w:t>»;</w:t>
      </w:r>
    </w:p>
    <w:p w14:paraId="42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ФНС России от 31.12.2014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14:paraId="43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ФНС России от 26.12.2014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«Интернет»;</w:t>
      </w:r>
    </w:p>
    <w:p w14:paraId="44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ФНС России от 09.11.2015 № 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</w:t>
      </w:r>
    </w:p>
    <w:p w14:paraId="45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ФНС России от 12.08.2011 № 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услуг»;</w:t>
      </w:r>
    </w:p>
    <w:p w14:paraId="46000000">
      <w:pPr>
        <w:numPr>
          <w:ilvl w:val="0"/>
          <w:numId w:val="1"/>
        </w:numPr>
        <w:tabs>
          <w:tab w:leader="none" w:pos="1276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приказ ФНС России от 09.06.2014 № 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заявления»;</w:t>
      </w:r>
    </w:p>
    <w:p w14:paraId="47000000">
      <w:pPr>
        <w:pStyle w:val="Style_1"/>
        <w:spacing w:after="0" w:before="0"/>
        <w:ind w:firstLine="709" w:right="164"/>
        <w:jc w:val="both"/>
        <w:rPr>
          <w:sz w:val="26"/>
        </w:rPr>
      </w:pPr>
      <w:r>
        <w:rPr>
          <w:sz w:val="26"/>
        </w:rPr>
        <w:t xml:space="preserve">41) </w:t>
      </w:r>
      <w:r>
        <w:rPr>
          <w:sz w:val="26"/>
        </w:rPr>
        <w:t>приказ ФНС России от 11.02.2016 № ММВ-7-14/72@ «Об утверждении оснований, условий и способов проведения указанных в пункте 4.2 статьи 9 Федерального закона «О государственной регистрации юридических лиц и индивидуальных предпринимателей»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лиц».</w:t>
      </w:r>
    </w:p>
    <w:p w14:paraId="48000000">
      <w:pPr>
        <w:pStyle w:val="Style_1"/>
        <w:spacing w:after="0" w:before="0"/>
        <w:ind w:firstLine="567" w:right="164"/>
        <w:jc w:val="both"/>
        <w:rPr>
          <w:sz w:val="26"/>
        </w:rPr>
      </w:pPr>
      <w:r>
        <w:rPr>
          <w:sz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49000000">
      <w:pPr>
        <w:ind w:firstLine="567" w:right="163"/>
        <w:jc w:val="both"/>
        <w:rPr>
          <w:sz w:val="26"/>
        </w:rPr>
      </w:pPr>
      <w:r>
        <w:rPr>
          <w:sz w:val="26"/>
        </w:rPr>
        <w:t xml:space="preserve">6.3.2 </w:t>
      </w:r>
      <w:r>
        <w:rPr>
          <w:sz w:val="26"/>
        </w:rPr>
        <w:t xml:space="preserve">Иные профессиональные знания: основы норм делового общения, формы и методы работы с применением автоматизированных средств управления, служебный распорядок </w:t>
      </w:r>
      <w:r>
        <w:rPr>
          <w:sz w:val="26"/>
        </w:rPr>
        <w:t>Инспекции</w:t>
      </w:r>
      <w:r>
        <w:rPr>
          <w:sz w:val="26"/>
        </w:rPr>
        <w:t>, порядок работы со служебной информацией, основы делопроизводства, правила охраны труда и противопожарной безопасности; аппаратного и программного обеспечения,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общие вопросы в области обеспечения информационной безопасности.</w:t>
      </w:r>
    </w:p>
    <w:p w14:paraId="4A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>6.4. Наличие функциональных знаний:</w:t>
      </w:r>
      <w:r>
        <w:rPr>
          <w:sz w:val="26"/>
        </w:rPr>
        <w:t xml:space="preserve"> </w:t>
      </w:r>
    </w:p>
    <w:p w14:paraId="4B000000">
      <w:pPr>
        <w:ind w:firstLine="567" w:right="163"/>
        <w:jc w:val="both"/>
        <w:rPr>
          <w:sz w:val="26"/>
        </w:rPr>
      </w:pPr>
      <w:r>
        <w:rPr>
          <w:sz w:val="26"/>
        </w:rPr>
        <w:t xml:space="preserve">1) </w:t>
      </w:r>
      <w:r>
        <w:rPr>
          <w:sz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14:paraId="4C000000">
      <w:pPr>
        <w:ind w:firstLine="567" w:right="163"/>
        <w:jc w:val="both"/>
        <w:rPr>
          <w:sz w:val="26"/>
        </w:rPr>
      </w:pPr>
      <w:r>
        <w:rPr>
          <w:sz w:val="26"/>
        </w:rPr>
        <w:t xml:space="preserve">2) </w:t>
      </w:r>
      <w:r>
        <w:rPr>
          <w:sz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14:paraId="4D000000">
      <w:pPr>
        <w:ind w:firstLine="567" w:right="163"/>
        <w:jc w:val="both"/>
        <w:rPr>
          <w:sz w:val="26"/>
        </w:rPr>
      </w:pPr>
      <w:r>
        <w:rPr>
          <w:sz w:val="26"/>
        </w:rPr>
        <w:t xml:space="preserve">3) </w:t>
      </w:r>
      <w:r>
        <w:rPr>
          <w:sz w:val="26"/>
        </w:rPr>
        <w:t>порядок формирования и ведения Единого государственного реестра налогоплательщиков (ЕГРН);</w:t>
      </w:r>
    </w:p>
    <w:p w14:paraId="4E000000">
      <w:pPr>
        <w:ind w:firstLine="567" w:right="163"/>
        <w:jc w:val="both"/>
        <w:rPr>
          <w:sz w:val="26"/>
        </w:rPr>
      </w:pPr>
      <w:r>
        <w:rPr>
          <w:sz w:val="26"/>
        </w:rPr>
        <w:t xml:space="preserve">4) </w:t>
      </w:r>
      <w:r>
        <w:rPr>
          <w:sz w:val="26"/>
        </w:rPr>
        <w:t>порядок предоставления сведений, содержащихся в ЕГРЮЛ, ЕГРИП, ЕГРН, реестре аккредитованных филиалов, представительств иностранных юридических лиц (РАФП), реестре дисквалифицированных лиц (РДЛ);</w:t>
      </w:r>
    </w:p>
    <w:p w14:paraId="4F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 xml:space="preserve">5) </w:t>
      </w:r>
      <w:r>
        <w:rPr>
          <w:sz w:val="26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лиц.</w:t>
      </w:r>
    </w:p>
    <w:p w14:paraId="50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 xml:space="preserve">6.5. </w:t>
      </w:r>
      <w:r>
        <w:rPr>
          <w:sz w:val="26"/>
        </w:rPr>
        <w:t>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управлять изменениями.</w:t>
      </w:r>
    </w:p>
    <w:p w14:paraId="51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>6.6. Наличие профессиональных умений:</w:t>
      </w:r>
      <w:r>
        <w:rPr>
          <w:sz w:val="26"/>
        </w:rPr>
        <w:t xml:space="preserve"> </w:t>
      </w:r>
      <w:r>
        <w:rPr>
          <w:sz w:val="26"/>
        </w:rPr>
        <w:t xml:space="preserve"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>
        <w:rPr>
          <w:sz w:val="26"/>
        </w:rPr>
        <w:t>инспекции</w:t>
      </w:r>
      <w:r>
        <w:rPr>
          <w:sz w:val="26"/>
        </w:rPr>
        <w:t>.</w:t>
      </w:r>
    </w:p>
    <w:p w14:paraId="52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 xml:space="preserve">6.7. </w:t>
      </w:r>
      <w:r>
        <w:rPr>
          <w:sz w:val="26"/>
        </w:rPr>
        <w:t>Наличие функциональных умений: учет физических лиц, юридических лиц, индивидуальных предпринимателей и фермерских хозяйств (КФХ); ведение федеральных информационных ресурсов – ЕГРН; учет сведений о банковских счетах и контроль за соблюдением обязанности по предоставлению сведений о банковских счетах.</w:t>
      </w:r>
    </w:p>
    <w:p w14:paraId="53000000">
      <w:pPr>
        <w:pStyle w:val="Style_1"/>
        <w:spacing w:after="0" w:before="0"/>
        <w:ind w:firstLine="567" w:right="163"/>
        <w:jc w:val="center"/>
        <w:rPr>
          <w:b w:val="1"/>
          <w:sz w:val="26"/>
        </w:rPr>
      </w:pPr>
    </w:p>
    <w:p w14:paraId="54000000">
      <w:pPr>
        <w:pStyle w:val="Style_1"/>
        <w:ind w:firstLine="567" w:right="163"/>
        <w:jc w:val="center"/>
        <w:rPr>
          <w:b w:val="1"/>
          <w:sz w:val="26"/>
        </w:rPr>
      </w:pPr>
      <w:r>
        <w:rPr>
          <w:b w:val="1"/>
          <w:sz w:val="26"/>
        </w:rPr>
        <w:t>III</w:t>
      </w:r>
      <w:r>
        <w:rPr>
          <w:b w:val="1"/>
          <w:sz w:val="26"/>
        </w:rPr>
        <w:t>. Должностные обязанности, права и ответственность</w:t>
      </w:r>
    </w:p>
    <w:p w14:paraId="55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 xml:space="preserve">7. Основные права и обязанности </w:t>
      </w:r>
      <w:r>
        <w:rPr>
          <w:sz w:val="26"/>
        </w:rPr>
        <w:t>главного государственного налогового инспектора</w:t>
      </w:r>
      <w:r>
        <w:rPr>
          <w:sz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</w:t>
      </w:r>
      <w:r>
        <w:rPr>
          <w:sz w:val="26"/>
        </w:rPr>
        <w:t>N</w:t>
      </w:r>
      <w:r>
        <w:rPr>
          <w:sz w:val="26"/>
        </w:rPr>
        <w:t xml:space="preserve"> 79-ФЗ "О государственной гражданской службе Российской Федерации".</w:t>
      </w:r>
    </w:p>
    <w:p w14:paraId="56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 xml:space="preserve">8. В целях реализации задач и функций, возложенных на </w:t>
      </w:r>
      <w:r>
        <w:rPr>
          <w:sz w:val="26"/>
        </w:rPr>
        <w:t>отдел учета и работы с налогоплательщиками</w:t>
      </w:r>
      <w:r>
        <w:rPr>
          <w:sz w:val="26"/>
        </w:rPr>
        <w:t xml:space="preserve">, </w:t>
      </w:r>
      <w:r>
        <w:rPr>
          <w:sz w:val="26"/>
        </w:rPr>
        <w:t>главный государственный налоговый инспектор</w:t>
      </w:r>
      <w:r>
        <w:rPr>
          <w:sz w:val="26"/>
        </w:rPr>
        <w:t xml:space="preserve"> обязан: </w:t>
      </w:r>
    </w:p>
    <w:p w14:paraId="57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обеспечивать выполнение планов мероприятий отдела;</w:t>
      </w:r>
    </w:p>
    <w:p w14:paraId="58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качественно и своевременно рассматривать материалы по вопросам, относящимся к направлениям деятельности отдела в пределах своей компетенции;</w:t>
      </w:r>
    </w:p>
    <w:p w14:paraId="59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участвовать в разработке квартальных планов работы отдела и контролировать выполнение утвержденных планов;</w:t>
      </w:r>
    </w:p>
    <w:p w14:paraId="5A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осуществлять контроль за качественным и своевременным рассмотрением гражданскими служащими материалов по вопросам, относящимся к направлениям деятельности отдела;</w:t>
      </w:r>
    </w:p>
    <w:p w14:paraId="5B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участвовать в комплексных, тематических аудиторских проверках, дистанционных мониторингах налоговых органов в рамках анализа практического использования нормативных документов по вопросам ведения ЕГРН, РДЛ и предоставления содержащихся в них сведений (документов);</w:t>
      </w:r>
    </w:p>
    <w:p w14:paraId="5C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 xml:space="preserve">подготавливать проекты приказов, распоряжений, методических рекомендаций, технологических инструкций по вопросам учета банковских счетов и контроля за соблюдением обязанностей по предоставлению сведений </w:t>
      </w:r>
      <w:r>
        <w:rPr>
          <w:sz w:val="26"/>
        </w:rPr>
        <w:t>о банковских счетах;</w:t>
      </w:r>
    </w:p>
    <w:p w14:paraId="5D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 xml:space="preserve">организовывать, координировать и участвовать в обеспечении методической помощи работникам </w:t>
      </w:r>
      <w:r>
        <w:rPr>
          <w:sz w:val="26"/>
        </w:rPr>
        <w:t>инспекции</w:t>
      </w:r>
      <w:r>
        <w:rPr>
          <w:sz w:val="26"/>
        </w:rPr>
        <w:t xml:space="preserve"> по вопросам учета банковских счетов и контроля за соблюдением обязанностей по предоставлению сведений о банковских счетах;</w:t>
      </w:r>
    </w:p>
    <w:p w14:paraId="5E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 xml:space="preserve">организовывать, координировать и участвовать в работах по выявлению и  приведению в соответствие, в том числе, в рамках взаимодействия с </w:t>
      </w:r>
      <w:r>
        <w:rPr>
          <w:sz w:val="26"/>
        </w:rPr>
        <w:t>отделами</w:t>
      </w:r>
      <w:r>
        <w:rPr>
          <w:sz w:val="26"/>
        </w:rPr>
        <w:t xml:space="preserve"> ошибочных сведений в информационных ресурсах о банковских счетах;</w:t>
      </w:r>
    </w:p>
    <w:p w14:paraId="5F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принимать участие в комплексных, тематических аудиторских проверках, дистанционных мониторингах налоговых органов в рамках анализа практического использования нормативных документов по вопросам учета банковских счетов и контроля за соблюдением обязанностей по предоставлению сведений о банковских счетах;</w:t>
      </w:r>
    </w:p>
    <w:p w14:paraId="60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участвовать в комплексных, тематических аудиторских проверках, дистанционных мониторингах налоговых органов в рамках анализа практического использования нормативных документов по вопросам выполнения процедур учета налогоплательщиков с использованием Интернет-сервисов ФНС России;</w:t>
      </w:r>
    </w:p>
    <w:p w14:paraId="61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организовывать и обеспечивать взаимодействие с органами, учреждениями, организациями и должностными лицами, обязанными сообщать в налоговые органы сведения, связанные с учетом организаций и физических лиц, в соответствии с пунктами 1-3, 4.1, 5, 6, 8, 9, 9.4 статьи 85 Налогового кодекса Российской Федерации, контроль за своевременностью предоставления сведений;</w:t>
      </w:r>
    </w:p>
    <w:p w14:paraId="62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организовывать, координировать и участвовать в обеспечении методической помощи работникам налоговых органов по вопросам взаимодействия с органами, учреждениями, организациями и должностными лицами, обязанными сообщать в налоговые органы сведения, связанные с учетом организаций и физических лиц, в соответствии с пунктами 1-3, 4.1, 5, 6, 8, 9, 9.4 статьи 85 Налогового кодекса Российской Федерации, контроль за своевременностью предоставления сведений;</w:t>
      </w:r>
    </w:p>
    <w:p w14:paraId="63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подготавливать проекты ответов в установленный законодательством Российской Федерации</w:t>
      </w:r>
      <w:r>
        <w:rPr>
          <w:sz w:val="26"/>
        </w:rPr>
        <w:t xml:space="preserve"> в</w:t>
      </w:r>
      <w:r>
        <w:rPr>
          <w:sz w:val="26"/>
        </w:rPr>
        <w:t xml:space="preserve"> срок по итогам рассмотрения обращений заинтересованных лиц по вопросам ведения </w:t>
      </w:r>
      <w:r>
        <w:rPr>
          <w:sz w:val="26"/>
        </w:rPr>
        <w:t>ЕГРН, РДЛ</w:t>
      </w:r>
      <w:r>
        <w:rPr>
          <w:sz w:val="26"/>
        </w:rPr>
        <w:t>;</w:t>
      </w:r>
    </w:p>
    <w:p w14:paraId="64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осуществл</w:t>
      </w:r>
      <w:r>
        <w:rPr>
          <w:sz w:val="26"/>
        </w:rPr>
        <w:t xml:space="preserve">ять </w:t>
      </w:r>
      <w:r>
        <w:rPr>
          <w:sz w:val="26"/>
        </w:rPr>
        <w:t xml:space="preserve"> контрол</w:t>
      </w:r>
      <w:r>
        <w:rPr>
          <w:sz w:val="26"/>
        </w:rPr>
        <w:t>ь</w:t>
      </w:r>
      <w:r>
        <w:rPr>
          <w:sz w:val="26"/>
        </w:rPr>
        <w:t xml:space="preserve"> сроков п</w:t>
      </w:r>
      <w:r>
        <w:rPr>
          <w:sz w:val="26"/>
        </w:rPr>
        <w:t>о</w:t>
      </w:r>
      <w:r>
        <w:rPr>
          <w:sz w:val="26"/>
        </w:rPr>
        <w:t>становки на налоговый учет</w:t>
      </w:r>
      <w:r>
        <w:rPr>
          <w:sz w:val="26"/>
        </w:rPr>
        <w:t xml:space="preserve"> ЮЛ и ИП</w:t>
      </w:r>
      <w:r>
        <w:rPr>
          <w:sz w:val="26"/>
        </w:rPr>
        <w:t>, сроков представления информации</w:t>
      </w:r>
      <w:r>
        <w:rPr>
          <w:sz w:val="26"/>
        </w:rPr>
        <w:t xml:space="preserve"> об открытии/закрытии обособленных пдразделений, постановки/снятии ЕНВД, об открытии и закрытии лицевых счетов УФК,</w:t>
      </w:r>
      <w:r>
        <w:rPr>
          <w:sz w:val="26"/>
        </w:rPr>
        <w:t xml:space="preserve"> об открытии и закрытии счетов банками (актуализация данных, ко</w:t>
      </w:r>
      <w:r>
        <w:rPr>
          <w:sz w:val="26"/>
        </w:rPr>
        <w:t>н</w:t>
      </w:r>
      <w:r>
        <w:rPr>
          <w:sz w:val="26"/>
        </w:rPr>
        <w:t>троль о</w:t>
      </w:r>
      <w:r>
        <w:rPr>
          <w:sz w:val="26"/>
        </w:rPr>
        <w:t>б</w:t>
      </w:r>
      <w:r>
        <w:rPr>
          <w:sz w:val="26"/>
        </w:rPr>
        <w:t>работки сообщений в «Журнале р</w:t>
      </w:r>
      <w:r>
        <w:rPr>
          <w:sz w:val="26"/>
        </w:rPr>
        <w:t>егистрации входящих документов»</w:t>
      </w:r>
      <w:r>
        <w:rPr>
          <w:sz w:val="26"/>
        </w:rPr>
        <w:t>), сроков представления свед</w:t>
      </w:r>
      <w:r>
        <w:rPr>
          <w:sz w:val="26"/>
        </w:rPr>
        <w:t>е</w:t>
      </w:r>
      <w:r>
        <w:rPr>
          <w:sz w:val="26"/>
        </w:rPr>
        <w:t>ний р</w:t>
      </w:r>
      <w:r>
        <w:rPr>
          <w:sz w:val="26"/>
        </w:rPr>
        <w:t xml:space="preserve">егистрирующими органами (по ст. </w:t>
      </w:r>
      <w:r>
        <w:rPr>
          <w:sz w:val="26"/>
        </w:rPr>
        <w:t>85 НК) применение мер ответственности</w:t>
      </w:r>
      <w:r>
        <w:rPr>
          <w:sz w:val="26"/>
        </w:rPr>
        <w:t xml:space="preserve"> (налоговая и административная)</w:t>
      </w:r>
      <w:r>
        <w:rPr>
          <w:sz w:val="26"/>
        </w:rPr>
        <w:t xml:space="preserve"> к нарушителям сроков, соблюдение валютного законодательства и ко</w:t>
      </w:r>
      <w:r>
        <w:rPr>
          <w:sz w:val="26"/>
        </w:rPr>
        <w:t>н</w:t>
      </w:r>
      <w:r>
        <w:rPr>
          <w:sz w:val="26"/>
        </w:rPr>
        <w:t>троля за ним</w:t>
      </w:r>
      <w:r>
        <w:rPr>
          <w:sz w:val="26"/>
        </w:rPr>
        <w:t>, применения мер ответственности согласно Налогового Кодекса и КоАП</w:t>
      </w:r>
      <w:r>
        <w:rPr>
          <w:sz w:val="26"/>
        </w:rPr>
        <w:t>;</w:t>
      </w:r>
    </w:p>
    <w:p w14:paraId="65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подготавливать проекты ответов в установленный законодательством Российской Федерации срок по итогам рассмотрения предложений и заявлений заинтересованных лиц по вопросам учета организаций и физических лиц, учета сведений о банковских счетах, ведения ЕГРН и предоставления содержащихся в нем сведений;</w:t>
      </w:r>
    </w:p>
    <w:p w14:paraId="66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14:paraId="67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 xml:space="preserve"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</w:t>
      </w:r>
      <w:r>
        <w:rPr>
          <w:sz w:val="26"/>
        </w:rPr>
        <w:t>отделом</w:t>
      </w:r>
      <w:r>
        <w:rPr>
          <w:sz w:val="26"/>
        </w:rPr>
        <w:t xml:space="preserve"> приказом </w:t>
      </w:r>
      <w:r>
        <w:rPr>
          <w:sz w:val="26"/>
        </w:rPr>
        <w:t>Инспекции</w:t>
      </w:r>
      <w:r>
        <w:rPr>
          <w:sz w:val="26"/>
        </w:rPr>
        <w:t>;</w:t>
      </w:r>
    </w:p>
    <w:p w14:paraId="68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 xml:space="preserve">инструктировать и консультировать на рабочих местах сотрудников </w:t>
      </w:r>
      <w:r>
        <w:rPr>
          <w:sz w:val="26"/>
        </w:rPr>
        <w:t>отдела</w:t>
      </w:r>
      <w:r>
        <w:rPr>
          <w:sz w:val="26"/>
        </w:rPr>
        <w:t>, в том числе при смене версий программного обеспечения и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России и АО «ГНИВЦ»;</w:t>
      </w:r>
    </w:p>
    <w:p w14:paraId="69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 xml:space="preserve"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</w:t>
      </w:r>
      <w:r>
        <w:rPr>
          <w:sz w:val="26"/>
        </w:rPr>
        <w:t>инспекции</w:t>
      </w:r>
      <w:r>
        <w:rPr>
          <w:sz w:val="26"/>
        </w:rPr>
        <w:t>, на которого возложены обязанности ответственного технолога;</w:t>
      </w:r>
    </w:p>
    <w:p w14:paraId="6A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 xml:space="preserve">подготавливать предложения сотруднику </w:t>
      </w:r>
      <w:r>
        <w:rPr>
          <w:sz w:val="26"/>
        </w:rPr>
        <w:t>инспекции</w:t>
      </w:r>
      <w:r>
        <w:rPr>
          <w:sz w:val="26"/>
        </w:rPr>
        <w:t xml:space="preserve">, на которого возложены обязанности ответственного технолога, по функциональным ролям (список доступных режимов, шаблонов ролей) для сотрудников </w:t>
      </w:r>
      <w:r>
        <w:rPr>
          <w:sz w:val="26"/>
        </w:rPr>
        <w:t>Инспекции</w:t>
      </w:r>
      <w:r>
        <w:rPr>
          <w:sz w:val="26"/>
        </w:rPr>
        <w:t>;</w:t>
      </w:r>
    </w:p>
    <w:p w14:paraId="6B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 xml:space="preserve"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</w:t>
      </w:r>
      <w:r>
        <w:rPr>
          <w:sz w:val="26"/>
        </w:rPr>
        <w:t>инспекции</w:t>
      </w:r>
      <w:r>
        <w:rPr>
          <w:sz w:val="26"/>
        </w:rPr>
        <w:t>, на которого возложены обязанности ответственного технолога;</w:t>
      </w:r>
    </w:p>
    <w:p w14:paraId="6C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 xml:space="preserve">уведомлять руководителя </w:t>
      </w:r>
      <w:r>
        <w:rPr>
          <w:sz w:val="26"/>
        </w:rPr>
        <w:t>Инспекции</w:t>
      </w:r>
      <w:r>
        <w:rPr>
          <w:sz w:val="26"/>
        </w:rPr>
        <w:t>, органов прокуратуры или других государственных органов о фактах обращения в целях склонения к совершению коррупционных правонарушений;</w:t>
      </w:r>
    </w:p>
    <w:p w14:paraId="6D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 xml:space="preserve">подготавливать заключения по вопросам, отнесенным к компетенции отдела, по запросам отделов </w:t>
      </w:r>
      <w:r>
        <w:rPr>
          <w:sz w:val="26"/>
        </w:rPr>
        <w:t>инспекции</w:t>
      </w:r>
      <w:r>
        <w:rPr>
          <w:sz w:val="26"/>
        </w:rPr>
        <w:t>;</w:t>
      </w:r>
    </w:p>
    <w:p w14:paraId="6E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 xml:space="preserve">подготавливать руководству </w:t>
      </w:r>
      <w:r>
        <w:rPr>
          <w:sz w:val="26"/>
        </w:rPr>
        <w:t>инспекции</w:t>
      </w:r>
      <w:r>
        <w:rPr>
          <w:sz w:val="26"/>
        </w:rPr>
        <w:t xml:space="preserve"> аналитические материалы по вопросам, отнесенным к компетенции отдела;</w:t>
      </w:r>
    </w:p>
    <w:p w14:paraId="6F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обеспечивать в установленном порядке формирование, ведение и актуализацию статистической отчетности по предмету деятельности отдела;</w:t>
      </w:r>
    </w:p>
    <w:p w14:paraId="70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 xml:space="preserve">своевременно и качественно исполнять поручения руководителя </w:t>
      </w:r>
      <w:r>
        <w:rPr>
          <w:sz w:val="26"/>
        </w:rPr>
        <w:t>инспекции</w:t>
      </w:r>
      <w:r>
        <w:rPr>
          <w:sz w:val="26"/>
        </w:rPr>
        <w:t xml:space="preserve"> и непосредственного руководителя, данные в пределах их полномочий, установленных законодательством Российской Федерации;</w:t>
      </w:r>
    </w:p>
    <w:p w14:paraId="71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 xml:space="preserve">в целях обеспечения эффективной работы </w:t>
      </w:r>
      <w:r>
        <w:rPr>
          <w:sz w:val="26"/>
        </w:rPr>
        <w:t>инспекции</w:t>
      </w:r>
      <w:r>
        <w:rPr>
          <w:sz w:val="26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14:paraId="72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при исполнении должностных обязанностей соблюдать права и законные интересы граждан и организаций;</w:t>
      </w:r>
    </w:p>
    <w:p w14:paraId="73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14:paraId="74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14:paraId="75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14:paraId="76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поддерживать уровень квалификации, необходимый для надлежащего выполнения данных обязанностей;</w:t>
      </w:r>
    </w:p>
    <w:p w14:paraId="77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соблюдать правила и нормы охраны труда и техники безопасности;</w:t>
      </w:r>
    </w:p>
    <w:p w14:paraId="78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14:paraId="79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14:paraId="7A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 xml:space="preserve">участвовать в обеспечении мобилизационной подготовки </w:t>
      </w:r>
      <w:r>
        <w:rPr>
          <w:sz w:val="26"/>
        </w:rPr>
        <w:t>инспекции</w:t>
      </w:r>
      <w:r>
        <w:rPr>
          <w:sz w:val="26"/>
        </w:rPr>
        <w:t xml:space="preserve"> к работе в военное время и в условиях военного и чрезвычайного положения;</w:t>
      </w:r>
    </w:p>
    <w:p w14:paraId="7B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участвовать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14:paraId="7C000000">
      <w:pPr>
        <w:numPr>
          <w:ilvl w:val="0"/>
          <w:numId w:val="2"/>
        </w:numPr>
        <w:tabs>
          <w:tab w:leader="none" w:pos="1134" w:val="left"/>
        </w:tabs>
        <w:ind w:firstLine="709" w:left="0"/>
        <w:jc w:val="both"/>
        <w:rPr>
          <w:sz w:val="26"/>
        </w:rPr>
      </w:pPr>
      <w:r>
        <w:rPr>
          <w:sz w:val="26"/>
        </w:rPr>
        <w:t>участвовать в осуществлении внутреннего контроля деятельности по технологическим процессам ФНС России, относящимся к компетенции отдела.</w:t>
      </w:r>
    </w:p>
    <w:p w14:paraId="7D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14:paraId="7E000000">
      <w:pPr>
        <w:pStyle w:val="Style_1"/>
        <w:spacing w:after="0" w:before="0"/>
        <w:ind w:firstLine="567"/>
        <w:jc w:val="both"/>
        <w:rPr>
          <w:sz w:val="26"/>
        </w:rPr>
      </w:pPr>
      <w:r>
        <w:rPr>
          <w:sz w:val="26"/>
        </w:rPr>
        <w:t xml:space="preserve">Строго выполнять основные обязанности, определённые статьей 15 Федерального     Закона    от  27 июля   2004 года  № 79-ФЗ «О государственной гражданской службе Российской Федерации». </w:t>
      </w:r>
    </w:p>
    <w:p w14:paraId="7F000000">
      <w:pPr>
        <w:pStyle w:val="Style_1"/>
        <w:spacing w:after="0" w:before="0"/>
        <w:ind w:firstLine="567"/>
        <w:jc w:val="both"/>
        <w:rPr>
          <w:sz w:val="26"/>
        </w:rPr>
      </w:pPr>
      <w:r>
        <w:rPr>
          <w:sz w:val="26"/>
        </w:rPr>
        <w:t xml:space="preserve">9. В целях исполнения возложенных должностных обязанностей </w:t>
      </w:r>
      <w:r>
        <w:rPr>
          <w:sz w:val="26"/>
        </w:rPr>
        <w:t xml:space="preserve">главный государственный налоговый инспектор </w:t>
      </w:r>
      <w:r>
        <w:rPr>
          <w:sz w:val="26"/>
        </w:rPr>
        <w:t xml:space="preserve">имеет право: </w:t>
      </w:r>
    </w:p>
    <w:p w14:paraId="80000000">
      <w:pPr>
        <w:tabs>
          <w:tab w:leader="none" w:pos="1134" w:val="left"/>
        </w:tabs>
        <w:ind w:firstLine="709"/>
        <w:jc w:val="both"/>
        <w:rPr>
          <w:sz w:val="26"/>
        </w:rPr>
      </w:pPr>
      <w:r>
        <w:rPr>
          <w:sz w:val="26"/>
        </w:rPr>
        <w:t>на защиту своих персональных данных;</w:t>
      </w:r>
    </w:p>
    <w:p w14:paraId="81000000">
      <w:pPr>
        <w:tabs>
          <w:tab w:leader="none" w:pos="1134" w:val="left"/>
        </w:tabs>
        <w:ind w:firstLine="709"/>
        <w:jc w:val="both"/>
        <w:rPr>
          <w:sz w:val="26"/>
        </w:rPr>
      </w:pPr>
      <w:r>
        <w:rPr>
          <w:sz w:val="26"/>
        </w:rPr>
        <w:t>на профессиональное развитие в порядке, установленном законодательством Российской Федерации;</w:t>
      </w:r>
    </w:p>
    <w:p w14:paraId="82000000">
      <w:pPr>
        <w:tabs>
          <w:tab w:leader="none" w:pos="1134" w:val="left"/>
        </w:tabs>
        <w:ind w:firstLine="709"/>
        <w:jc w:val="both"/>
        <w:rPr>
          <w:sz w:val="26"/>
        </w:rPr>
      </w:pPr>
      <w:r>
        <w:rPr>
          <w:sz w:val="26"/>
        </w:rPr>
        <w:t>на удаленный доступ к федеральным информационным ресурсам, сопровождаемым МИ ФНС России по ЦОД</w:t>
      </w:r>
      <w:r>
        <w:rPr>
          <w:sz w:val="26"/>
        </w:rPr>
        <w:t>;</w:t>
      </w:r>
    </w:p>
    <w:p w14:paraId="83000000">
      <w:pPr>
        <w:pStyle w:val="Style_1"/>
        <w:spacing w:after="0" w:before="0"/>
        <w:ind w:firstLine="567"/>
        <w:jc w:val="both"/>
        <w:rPr>
          <w:sz w:val="26"/>
        </w:rPr>
      </w:pPr>
      <w:r>
        <w:rPr>
          <w:sz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14:paraId="84000000">
      <w:pPr>
        <w:tabs>
          <w:tab w:leader="none" w:pos="567" w:val="left"/>
        </w:tabs>
        <w:ind/>
        <w:jc w:val="both"/>
      </w:pPr>
      <w:r>
        <w:rPr>
          <w:sz w:val="26"/>
        </w:rPr>
        <w:tab/>
      </w:r>
      <w:r>
        <w:rPr>
          <w:sz w:val="26"/>
        </w:rPr>
        <w:t xml:space="preserve">10. </w:t>
      </w:r>
      <w:r>
        <w:rPr>
          <w:sz w:val="26"/>
        </w:rPr>
        <w:t xml:space="preserve">Главный государственный налоговый инспектор </w:t>
      </w:r>
      <w:r>
        <w:rPr>
          <w:sz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</w:t>
      </w:r>
      <w:r>
        <w:rPr>
          <w:sz w:val="26"/>
        </w:rPr>
        <w:t>N</w:t>
      </w:r>
      <w:r>
        <w:rPr>
          <w:sz w:val="26"/>
        </w:rPr>
        <w:t xml:space="preserve"> 506 "Об утверждении Положения о Федеральной налоговой службе" (Собрание законодательства Российской Федерации, 2004, </w:t>
      </w:r>
      <w:r>
        <w:rPr>
          <w:sz w:val="26"/>
        </w:rPr>
        <w:t>N</w:t>
      </w:r>
      <w:r>
        <w:rPr>
          <w:sz w:val="26"/>
        </w:rPr>
        <w:t xml:space="preserve"> 40, ст. 3961; 2017, </w:t>
      </w:r>
      <w:r>
        <w:rPr>
          <w:sz w:val="26"/>
        </w:rPr>
        <w:t>N</w:t>
      </w:r>
      <w:r>
        <w:rPr>
          <w:sz w:val="26"/>
        </w:rPr>
        <w:t xml:space="preserve"> 15 (ч. 1), ст. 2194), приказами (распоряжениями) ФНС России, </w:t>
      </w:r>
      <w:r>
        <w:rPr>
          <w:sz w:val="26"/>
        </w:rPr>
        <w:t>законами  и иными нормативными правовыми актами Российской Федерации, нормативными  правовыми актами Минфина России, приказами, распоряжениями, инструкциями и методическими указаниями ФНС России, УФНС России по Республике Башкортостан, Межрайонной ИФНС России № 40 по Республике Башкортостан.</w:t>
      </w:r>
    </w:p>
    <w:p w14:paraId="85000000">
      <w:pPr>
        <w:ind w:firstLine="709"/>
        <w:jc w:val="both"/>
        <w:rPr>
          <w:sz w:val="26"/>
        </w:rPr>
      </w:pPr>
      <w:r>
        <w:rPr>
          <w:sz w:val="26"/>
        </w:rPr>
        <w:t xml:space="preserve">11. </w:t>
      </w:r>
      <w:r>
        <w:rPr>
          <w:sz w:val="26"/>
        </w:rPr>
        <w:t xml:space="preserve">Главный государственный налоговый инспектор </w:t>
      </w:r>
      <w:r>
        <w:rPr>
          <w:sz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>
        <w:rPr>
          <w:sz w:val="26"/>
        </w:rPr>
        <w:t xml:space="preserve">ательством Российской Федерации. </w:t>
      </w:r>
    </w:p>
    <w:p w14:paraId="86000000">
      <w:pPr>
        <w:ind w:firstLine="709"/>
        <w:jc w:val="both"/>
        <w:rPr>
          <w:sz w:val="26"/>
        </w:rPr>
      </w:pPr>
      <w:r>
        <w:rPr>
          <w:sz w:val="26"/>
        </w:rPr>
        <w:t xml:space="preserve">Кроме того, </w:t>
      </w:r>
      <w:r>
        <w:rPr>
          <w:sz w:val="26"/>
        </w:rPr>
        <w:t xml:space="preserve">главный </w:t>
      </w:r>
      <w:r>
        <w:rPr>
          <w:sz w:val="26"/>
        </w:rPr>
        <w:t xml:space="preserve">государственный налоговый инспектор несет ответственность: </w:t>
      </w:r>
    </w:p>
    <w:p w14:paraId="87000000">
      <w:pPr>
        <w:tabs>
          <w:tab w:leader="none" w:pos="1134" w:val="left"/>
        </w:tabs>
        <w:ind w:firstLine="709"/>
        <w:jc w:val="both"/>
        <w:rPr>
          <w:sz w:val="26"/>
        </w:rPr>
      </w:pPr>
      <w:r>
        <w:rPr>
          <w:sz w:val="26"/>
        </w:rPr>
        <w:t xml:space="preserve">за некачественное и несвоевременное выполнение задач, возложенных на </w:t>
      </w:r>
      <w:r>
        <w:rPr>
          <w:sz w:val="26"/>
        </w:rPr>
        <w:t>инспекцию</w:t>
      </w:r>
      <w:r>
        <w:rPr>
          <w:sz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14:paraId="88000000">
      <w:pPr>
        <w:tabs>
          <w:tab w:leader="none" w:pos="1134" w:val="left"/>
        </w:tabs>
        <w:ind w:firstLine="709"/>
        <w:jc w:val="both"/>
        <w:rPr>
          <w:sz w:val="26"/>
        </w:rPr>
      </w:pPr>
      <w:r>
        <w:rPr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14:paraId="89000000">
      <w:pPr>
        <w:tabs>
          <w:tab w:leader="none" w:pos="1134" w:val="left"/>
        </w:tabs>
        <w:ind w:firstLine="709"/>
        <w:jc w:val="both"/>
        <w:rPr>
          <w:sz w:val="26"/>
        </w:rPr>
      </w:pPr>
      <w:r>
        <w:rPr>
          <w:sz w:val="26"/>
        </w:rPr>
        <w:t>за имущественный ущерб, причиненный по его вине;</w:t>
      </w:r>
    </w:p>
    <w:p w14:paraId="8A000000">
      <w:pPr>
        <w:tabs>
          <w:tab w:leader="none" w:pos="1134" w:val="left"/>
        </w:tabs>
        <w:ind w:firstLine="709"/>
        <w:jc w:val="both"/>
        <w:rPr>
          <w:sz w:val="26"/>
        </w:rPr>
      </w:pPr>
      <w:r>
        <w:rPr>
          <w:sz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14:paraId="8B000000">
      <w:pPr>
        <w:tabs>
          <w:tab w:leader="none" w:pos="1134" w:val="left"/>
        </w:tabs>
        <w:ind w:firstLine="709"/>
        <w:jc w:val="both"/>
        <w:rPr>
          <w:sz w:val="26"/>
        </w:rPr>
      </w:pPr>
      <w:r>
        <w:rPr>
          <w:sz w:val="26"/>
        </w:rPr>
        <w:t>за действие или бездействие, приведшее к нарушению прав и законных интересов граждан;</w:t>
      </w:r>
    </w:p>
    <w:p w14:paraId="8C000000">
      <w:pPr>
        <w:tabs>
          <w:tab w:leader="none" w:pos="1134" w:val="left"/>
        </w:tabs>
        <w:ind w:firstLine="709"/>
        <w:jc w:val="both"/>
        <w:rPr>
          <w:sz w:val="26"/>
        </w:rPr>
      </w:pPr>
      <w:r>
        <w:rPr>
          <w:sz w:val="26"/>
        </w:rPr>
        <w:t>за несоблюдение ограничений, связанных с прохождением государственной гражданской службы;</w:t>
      </w:r>
    </w:p>
    <w:p w14:paraId="8D000000">
      <w:pPr>
        <w:tabs>
          <w:tab w:leader="none" w:pos="1134" w:val="left"/>
        </w:tabs>
        <w:ind w:firstLine="709"/>
        <w:jc w:val="both"/>
        <w:rPr>
          <w:sz w:val="26"/>
        </w:rPr>
      </w:pPr>
      <w:r>
        <w:rPr>
          <w:sz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14:paraId="8E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14:paraId="8F000000">
      <w:pPr>
        <w:pStyle w:val="Style_1"/>
        <w:spacing w:after="0" w:before="0"/>
        <w:ind w:firstLine="567" w:right="163"/>
        <w:jc w:val="both"/>
        <w:rPr>
          <w:sz w:val="26"/>
        </w:rPr>
      </w:pPr>
    </w:p>
    <w:p w14:paraId="90000000">
      <w:pPr>
        <w:pStyle w:val="Style_1"/>
        <w:ind w:right="163"/>
        <w:jc w:val="center"/>
        <w:rPr>
          <w:b w:val="1"/>
          <w:sz w:val="26"/>
        </w:rPr>
      </w:pPr>
      <w:r>
        <w:rPr>
          <w:b w:val="1"/>
          <w:sz w:val="26"/>
        </w:rPr>
        <w:t xml:space="preserve">IV. </w:t>
      </w:r>
      <w:r>
        <w:rPr>
          <w:b w:val="1"/>
          <w:sz w:val="26"/>
        </w:rPr>
        <w:t>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14:paraId="91000000">
      <w:pPr>
        <w:pStyle w:val="Style_1"/>
        <w:spacing w:after="0" w:before="0"/>
        <w:ind w:firstLine="708" w:right="163"/>
        <w:jc w:val="both"/>
        <w:rPr>
          <w:sz w:val="26"/>
        </w:rPr>
      </w:pPr>
      <w:r>
        <w:rPr>
          <w:sz w:val="26"/>
        </w:rPr>
        <w:t xml:space="preserve">12. При исполнении служебных обязанностей </w:t>
      </w:r>
      <w:r>
        <w:rPr>
          <w:sz w:val="26"/>
        </w:rPr>
        <w:t>главный государственный налоговый инспектор</w:t>
      </w:r>
      <w:r>
        <w:rPr>
          <w:sz w:val="26"/>
        </w:rPr>
        <w:t xml:space="preserve"> вправе самостоятельно принимать решения по вопросам: </w:t>
      </w:r>
    </w:p>
    <w:p w14:paraId="92000000">
      <w:pPr>
        <w:ind w:firstLine="567"/>
        <w:jc w:val="both"/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>выполнения решений по реализации функций налогового администрирования;</w:t>
      </w:r>
    </w:p>
    <w:p w14:paraId="93000000">
      <w:pPr>
        <w:ind w:firstLine="567"/>
        <w:jc w:val="both"/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>реализации законодательства Российской Федерации, Положения о ФНС России, Положением об УФНС России по Республике Башкортостан, поручений УФНС России по Республике Башкортостан, Положения об Инспекции.</w:t>
      </w:r>
    </w:p>
    <w:p w14:paraId="94000000">
      <w:pPr>
        <w:pStyle w:val="Style_1"/>
        <w:spacing w:after="0" w:before="0"/>
        <w:ind w:firstLine="567" w:right="163"/>
        <w:jc w:val="both"/>
        <w:rPr>
          <w:sz w:val="26"/>
        </w:rPr>
      </w:pPr>
      <w:r>
        <w:rPr>
          <w:sz w:val="26"/>
        </w:rPr>
        <w:t>13. При исполнении служебных обязанностей</w:t>
      </w:r>
      <w:r>
        <w:rPr>
          <w:sz w:val="26"/>
        </w:rPr>
        <w:t xml:space="preserve"> главный государственный налоговый инспектор</w:t>
      </w:r>
      <w:r>
        <w:rPr>
          <w:sz w:val="26"/>
        </w:rPr>
        <w:t xml:space="preserve"> обязан самостоятельно принимать решения по вопросам: </w:t>
      </w:r>
    </w:p>
    <w:p w14:paraId="95000000">
      <w:pPr>
        <w:ind w:firstLine="708"/>
        <w:jc w:val="both"/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>обеспечения соблюдения налоговой или иной охраняемой законом тайны в соответствии с Налоговым кодексом, федеральными законами, иными нормативными правовыми актами;</w:t>
      </w:r>
    </w:p>
    <w:p w14:paraId="96000000">
      <w:pPr>
        <w:ind w:firstLine="708"/>
        <w:jc w:val="both"/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>возникающим при рассмотрении заявлений, предложений, жалоб граждан и юридических лиц;</w:t>
      </w:r>
    </w:p>
    <w:p w14:paraId="97000000">
      <w:pPr>
        <w:ind w:firstLine="708"/>
        <w:jc w:val="both"/>
        <w:rPr>
          <w:sz w:val="26"/>
        </w:rPr>
      </w:pPr>
      <w:r>
        <w:rPr>
          <w:sz w:val="26"/>
        </w:rPr>
        <w:t>- и</w:t>
      </w:r>
      <w:r>
        <w:rPr>
          <w:sz w:val="26"/>
        </w:rPr>
        <w:t>ным вопросам, предусмотренным Положением об отделе.</w:t>
      </w:r>
    </w:p>
    <w:p w14:paraId="98000000">
      <w:pPr>
        <w:pStyle w:val="Style_1"/>
        <w:spacing w:after="0" w:before="0"/>
        <w:ind w:firstLine="567" w:right="163"/>
        <w:jc w:val="both"/>
        <w:rPr>
          <w:sz w:val="26"/>
        </w:rPr>
      </w:pPr>
    </w:p>
    <w:p w14:paraId="99000000">
      <w:pPr>
        <w:spacing w:after="108" w:before="108"/>
        <w:ind/>
        <w:jc w:val="center"/>
        <w:outlineLvl w:val="0"/>
        <w:rPr>
          <w:b w:val="1"/>
          <w:color w:val="26282F"/>
          <w:sz w:val="28"/>
        </w:rPr>
      </w:pPr>
      <w:bookmarkStart w:id="1" w:name="sub_1500"/>
      <w:r>
        <w:rPr>
          <w:b w:val="1"/>
          <w:color w:val="26282F"/>
          <w:sz w:val="28"/>
        </w:rPr>
        <w:t>V. Перечень вопросов, по которым</w:t>
      </w:r>
      <w:r>
        <w:rPr>
          <w:b w:val="1"/>
          <w:color w:val="26282F"/>
          <w:sz w:val="28"/>
        </w:rPr>
        <w:t xml:space="preserve"> главный государственный </w:t>
      </w:r>
      <w:r>
        <w:rPr>
          <w:b w:val="1"/>
          <w:color w:val="26282F"/>
          <w:sz w:val="28"/>
        </w:rPr>
        <w:t>налоговый инспектор</w:t>
      </w:r>
      <w:r>
        <w:rPr>
          <w:b w:val="1"/>
          <w:color w:val="26282F"/>
          <w:sz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14:paraId="9A000000">
      <w:pPr>
        <w:ind/>
        <w:jc w:val="both"/>
        <w:rPr>
          <w:sz w:val="28"/>
        </w:rPr>
      </w:pPr>
      <w:bookmarkEnd w:id="1"/>
    </w:p>
    <w:p w14:paraId="9B000000">
      <w:pPr>
        <w:ind w:firstLine="720"/>
        <w:jc w:val="both"/>
        <w:rPr>
          <w:sz w:val="28"/>
        </w:rPr>
      </w:pPr>
      <w:bookmarkStart w:id="2" w:name="sub_1014"/>
      <w:r>
        <w:rPr>
          <w:sz w:val="28"/>
        </w:rPr>
        <w:t xml:space="preserve">14. </w:t>
      </w:r>
      <w:r>
        <w:rPr>
          <w:sz w:val="28"/>
        </w:rPr>
        <w:t>Главный государственный налоговый инспектор</w:t>
      </w:r>
      <w:r>
        <w:rPr>
          <w:sz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14:paraId="9C000000">
      <w:pPr>
        <w:pStyle w:val="Style_1"/>
        <w:spacing w:after="0" w:before="0"/>
        <w:ind w:firstLine="567"/>
        <w:jc w:val="both"/>
        <w:rPr>
          <w:sz w:val="26"/>
        </w:rPr>
      </w:pPr>
      <w:r>
        <w:rPr>
          <w:sz w:val="26"/>
        </w:rPr>
        <w:t>- 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14:paraId="9D000000">
      <w:pPr>
        <w:pStyle w:val="Style_1"/>
        <w:spacing w:after="0" w:before="0"/>
        <w:ind w:firstLine="567"/>
        <w:jc w:val="both"/>
        <w:rPr>
          <w:sz w:val="26"/>
        </w:rPr>
      </w:pPr>
      <w:r>
        <w:rPr>
          <w:sz w:val="26"/>
        </w:rPr>
        <w:t>- иным вопросам.</w:t>
      </w:r>
    </w:p>
    <w:p w14:paraId="9E000000">
      <w:pPr>
        <w:ind w:firstLine="720"/>
        <w:jc w:val="both"/>
        <w:rPr>
          <w:sz w:val="28"/>
        </w:rPr>
      </w:pPr>
      <w:bookmarkStart w:id="3" w:name="sub_1015"/>
      <w:bookmarkEnd w:id="2"/>
      <w:r>
        <w:rPr>
          <w:sz w:val="28"/>
        </w:rPr>
        <w:t>15.</w:t>
      </w:r>
      <w:r>
        <w:rPr>
          <w:sz w:val="28"/>
        </w:rPr>
        <w:t xml:space="preserve"> Главный государственный налоговый инспектор</w:t>
      </w:r>
      <w:r>
        <w:rPr>
          <w:sz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14:paraId="9F000000">
      <w:pPr>
        <w:pStyle w:val="Style_1"/>
        <w:spacing w:after="0" w:before="0"/>
        <w:ind w:firstLine="567"/>
        <w:jc w:val="both"/>
        <w:rPr>
          <w:sz w:val="26"/>
        </w:rPr>
      </w:pPr>
      <w:bookmarkEnd w:id="3"/>
      <w:r>
        <w:rPr>
          <w:sz w:val="26"/>
        </w:rPr>
        <w:t>- положения об отделе и инспекции;</w:t>
      </w:r>
    </w:p>
    <w:p w14:paraId="A0000000">
      <w:pPr>
        <w:pStyle w:val="Style_1"/>
        <w:spacing w:after="0" w:before="0"/>
        <w:ind w:firstLine="567"/>
        <w:jc w:val="both"/>
        <w:rPr>
          <w:sz w:val="26"/>
        </w:rPr>
      </w:pPr>
      <w:r>
        <w:rPr>
          <w:sz w:val="26"/>
        </w:rPr>
        <w:t>- графика отпусков гражданских служащих отдела;</w:t>
      </w:r>
    </w:p>
    <w:p w14:paraId="A1000000">
      <w:pPr>
        <w:ind w:firstLine="567"/>
      </w:pPr>
      <w:r>
        <w:rPr>
          <w:sz w:val="26"/>
        </w:rPr>
        <w:t>- иных актов по поручению непосредственного руководителя и руководства инспекции</w:t>
      </w:r>
      <w:r>
        <w:rPr>
          <w:sz w:val="26"/>
        </w:rPr>
        <w:t>.</w:t>
      </w:r>
    </w:p>
    <w:p w14:paraId="A2000000">
      <w:pPr>
        <w:pStyle w:val="Style_1"/>
        <w:spacing w:after="0" w:before="0"/>
        <w:ind w:firstLine="567" w:right="163"/>
        <w:jc w:val="both"/>
        <w:rPr>
          <w:sz w:val="26"/>
        </w:rPr>
      </w:pPr>
    </w:p>
    <w:p w14:paraId="A3000000">
      <w:pPr>
        <w:spacing w:after="108" w:before="108"/>
        <w:ind/>
        <w:jc w:val="center"/>
        <w:outlineLvl w:val="0"/>
        <w:rPr>
          <w:b w:val="1"/>
          <w:color w:val="26282F"/>
          <w:sz w:val="28"/>
        </w:rPr>
      </w:pPr>
      <w:bookmarkStart w:id="4" w:name="sub_1600"/>
      <w:r>
        <w:rPr>
          <w:b w:val="1"/>
          <w:color w:val="26282F"/>
          <w:sz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14:paraId="A4000000">
      <w:pPr>
        <w:ind w:firstLine="720"/>
        <w:jc w:val="both"/>
        <w:rPr>
          <w:sz w:val="28"/>
        </w:rPr>
      </w:pPr>
      <w:bookmarkEnd w:id="4"/>
    </w:p>
    <w:p w14:paraId="A5000000">
      <w:pPr>
        <w:ind w:firstLine="720"/>
        <w:jc w:val="both"/>
        <w:rPr>
          <w:sz w:val="28"/>
        </w:rPr>
      </w:pPr>
      <w:bookmarkStart w:id="5" w:name="sub_1016"/>
      <w:r>
        <w:rPr>
          <w:sz w:val="28"/>
        </w:rPr>
        <w:t xml:space="preserve">16. В соответствии со своими должностными обязанностями </w:t>
      </w:r>
      <w:r>
        <w:rPr>
          <w:sz w:val="28"/>
        </w:rPr>
        <w:t>главный государственный налоговый инспектор</w:t>
      </w:r>
      <w:r>
        <w:rPr>
          <w:sz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14:paraId="A6000000">
      <w:pPr>
        <w:ind w:firstLine="720"/>
        <w:jc w:val="both"/>
        <w:rPr>
          <w:sz w:val="28"/>
        </w:rPr>
      </w:pPr>
      <w:bookmarkEnd w:id="5"/>
    </w:p>
    <w:p w14:paraId="A7000000">
      <w:pPr>
        <w:spacing w:after="108" w:before="108"/>
        <w:ind/>
        <w:jc w:val="center"/>
        <w:outlineLvl w:val="0"/>
        <w:rPr>
          <w:b w:val="1"/>
          <w:color w:val="26282F"/>
          <w:sz w:val="28"/>
        </w:rPr>
      </w:pPr>
      <w:bookmarkStart w:id="6" w:name="sub_1700"/>
      <w:r>
        <w:rPr>
          <w:b w:val="1"/>
          <w:color w:val="26282F"/>
          <w:sz w:val="28"/>
        </w:rPr>
        <w:t>VII. Порядок служебного взаимодействия</w:t>
      </w:r>
    </w:p>
    <w:p w14:paraId="A8000000">
      <w:pPr>
        <w:ind w:firstLine="720"/>
        <w:jc w:val="both"/>
        <w:rPr>
          <w:sz w:val="28"/>
        </w:rPr>
      </w:pPr>
      <w:bookmarkEnd w:id="6"/>
    </w:p>
    <w:p w14:paraId="A9000000">
      <w:pPr>
        <w:ind w:firstLine="720"/>
        <w:jc w:val="both"/>
        <w:rPr>
          <w:sz w:val="28"/>
        </w:rPr>
      </w:pPr>
      <w:bookmarkStart w:id="7" w:name="sub_1017"/>
      <w:r>
        <w:rPr>
          <w:sz w:val="28"/>
        </w:rPr>
        <w:t xml:space="preserve">17. Взаимодействие </w:t>
      </w:r>
      <w:r>
        <w:rPr>
          <w:sz w:val="28"/>
        </w:rPr>
        <w:t>главного государственного налогового инспектора</w:t>
      </w:r>
      <w:r>
        <w:rPr>
          <w:sz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>
        <w:rPr>
          <w:color w:val="106BBE"/>
          <w:sz w:val="28"/>
        </w:rPr>
        <w:fldChar w:fldCharType="begin"/>
      </w:r>
      <w:r>
        <w:rPr>
          <w:color w:val="106BBE"/>
          <w:sz w:val="28"/>
        </w:rPr>
        <w:instrText>HYPERLINK "garantF1://84842.1000"</w:instrText>
      </w:r>
      <w:r>
        <w:rPr>
          <w:color w:val="106BBE"/>
          <w:sz w:val="28"/>
        </w:rPr>
        <w:fldChar w:fldCharType="separate"/>
      </w:r>
      <w:r>
        <w:rPr>
          <w:color w:val="106BBE"/>
          <w:sz w:val="28"/>
        </w:rPr>
        <w:t>общих принципов</w:t>
      </w:r>
      <w:r>
        <w:rPr>
          <w:color w:val="106BBE"/>
          <w:sz w:val="28"/>
        </w:rPr>
        <w:fldChar w:fldCharType="end"/>
      </w:r>
      <w:r>
        <w:rPr>
          <w:sz w:val="28"/>
        </w:rPr>
        <w:t xml:space="preserve"> служебного поведения государственных служащих, утвержденных </w:t>
      </w:r>
      <w:r>
        <w:rPr>
          <w:color w:val="106BBE"/>
          <w:sz w:val="28"/>
        </w:rPr>
        <w:fldChar w:fldCharType="begin"/>
      </w:r>
      <w:r>
        <w:rPr>
          <w:color w:val="106BBE"/>
          <w:sz w:val="28"/>
        </w:rPr>
        <w:instrText>HYPERLINK "garantF1://84842.0"</w:instrText>
      </w:r>
      <w:r>
        <w:rPr>
          <w:color w:val="106BBE"/>
          <w:sz w:val="28"/>
        </w:rPr>
        <w:fldChar w:fldCharType="separate"/>
      </w:r>
      <w:r>
        <w:rPr>
          <w:color w:val="106BBE"/>
          <w:sz w:val="28"/>
        </w:rPr>
        <w:t>Указом</w:t>
      </w:r>
      <w:r>
        <w:rPr>
          <w:color w:val="106BBE"/>
          <w:sz w:val="28"/>
        </w:rPr>
        <w:fldChar w:fldCharType="end"/>
      </w:r>
      <w:r>
        <w:rPr>
          <w:sz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ст. 3196; 2009, N 29, ст. 3658), и требований к служебному поведению, установленных </w:t>
      </w:r>
      <w:r>
        <w:rPr>
          <w:color w:val="106BBE"/>
          <w:sz w:val="28"/>
        </w:rPr>
        <w:fldChar w:fldCharType="begin"/>
      </w:r>
      <w:r>
        <w:rPr>
          <w:color w:val="106BBE"/>
          <w:sz w:val="28"/>
        </w:rPr>
        <w:instrText>HYPERLINK "garantF1://12036354.18"</w:instrText>
      </w:r>
      <w:r>
        <w:rPr>
          <w:color w:val="106BBE"/>
          <w:sz w:val="28"/>
        </w:rPr>
        <w:fldChar w:fldCharType="separate"/>
      </w:r>
      <w:r>
        <w:rPr>
          <w:color w:val="106BBE"/>
          <w:sz w:val="28"/>
        </w:rPr>
        <w:t>статьей 18</w:t>
      </w:r>
      <w:r>
        <w:rPr>
          <w:color w:val="106BBE"/>
          <w:sz w:val="28"/>
        </w:rPr>
        <w:fldChar w:fldCharType="end"/>
      </w:r>
      <w:r>
        <w:rPr>
          <w:sz w:val="28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14:paraId="AA000000">
      <w:pPr>
        <w:ind w:firstLine="720"/>
        <w:jc w:val="both"/>
        <w:rPr>
          <w:sz w:val="28"/>
        </w:rPr>
      </w:pPr>
      <w:bookmarkEnd w:id="7"/>
    </w:p>
    <w:p w14:paraId="AB000000">
      <w:pPr>
        <w:spacing w:after="108" w:before="108"/>
        <w:ind/>
        <w:jc w:val="center"/>
        <w:outlineLvl w:val="0"/>
        <w:rPr>
          <w:b w:val="1"/>
          <w:color w:val="26282F"/>
          <w:sz w:val="28"/>
        </w:rPr>
      </w:pPr>
      <w:bookmarkStart w:id="8" w:name="sub_1800"/>
      <w:r>
        <w:rPr>
          <w:b w:val="1"/>
          <w:color w:val="26282F"/>
          <w:sz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14:paraId="AC000000">
      <w:pPr>
        <w:ind w:firstLine="720"/>
        <w:jc w:val="both"/>
        <w:rPr>
          <w:sz w:val="28"/>
        </w:rPr>
      </w:pPr>
      <w:bookmarkEnd w:id="8"/>
    </w:p>
    <w:p w14:paraId="AD000000">
      <w:pPr>
        <w:ind w:firstLine="720"/>
        <w:jc w:val="both"/>
        <w:rPr>
          <w:sz w:val="26"/>
        </w:rPr>
      </w:pPr>
      <w:bookmarkStart w:id="9" w:name="sub_1018"/>
      <w:r>
        <w:rPr>
          <w:sz w:val="26"/>
        </w:rPr>
        <w:t>18. В соответствии с Единым стандартом обслуживания налогоплательщиков, утвержденным приказом ФНС России № ММВ-7-10/478@ от 05.10.2010; административным регламентом Федеральной налоговой службы и в пределах функциональной компетенции главный государственный налоговый инспектор оказывает следующие государственные услуги:</w:t>
      </w:r>
    </w:p>
    <w:p w14:paraId="AE000000">
      <w:pPr>
        <w:ind w:firstLine="720"/>
        <w:jc w:val="both"/>
        <w:rPr>
          <w:sz w:val="26"/>
        </w:rPr>
      </w:pPr>
      <w:r>
        <w:rPr>
          <w:sz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14:paraId="AF000000">
      <w:pPr>
        <w:ind w:firstLine="720"/>
        <w:jc w:val="both"/>
        <w:rPr>
          <w:sz w:val="26"/>
        </w:rPr>
      </w:pPr>
      <w:r>
        <w:rPr>
          <w:sz w:val="26"/>
        </w:rPr>
        <w:t>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14:paraId="B0000000">
      <w:pPr>
        <w:ind w:firstLine="720"/>
        <w:jc w:val="both"/>
        <w:rPr>
          <w:sz w:val="26"/>
        </w:rPr>
      </w:pPr>
      <w:r>
        <w:rPr>
          <w:sz w:val="26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14:paraId="B1000000">
      <w:pPr>
        <w:ind w:firstLine="720"/>
        <w:jc w:val="both"/>
        <w:rPr>
          <w:sz w:val="28"/>
        </w:rPr>
      </w:pPr>
      <w:r>
        <w:rPr>
          <w:sz w:val="26"/>
        </w:rPr>
        <w:t>иные услуги.</w:t>
      </w:r>
    </w:p>
    <w:p w14:paraId="B2000000">
      <w:pPr>
        <w:ind w:firstLine="720"/>
        <w:jc w:val="both"/>
        <w:rPr>
          <w:sz w:val="28"/>
        </w:rPr>
      </w:pPr>
      <w:bookmarkEnd w:id="9"/>
    </w:p>
    <w:p w14:paraId="B3000000">
      <w:pPr>
        <w:spacing w:after="108" w:before="108"/>
        <w:ind/>
        <w:jc w:val="center"/>
        <w:outlineLvl w:val="0"/>
        <w:rPr>
          <w:b w:val="1"/>
          <w:color w:val="26282F"/>
          <w:sz w:val="28"/>
        </w:rPr>
      </w:pPr>
      <w:bookmarkStart w:id="10" w:name="sub_1900"/>
      <w:r>
        <w:rPr>
          <w:b w:val="1"/>
          <w:color w:val="26282F"/>
          <w:sz w:val="28"/>
        </w:rPr>
        <w:t>IX. Показатели эффективности и результативности профессиональной служебной деятельности</w:t>
      </w:r>
    </w:p>
    <w:p w14:paraId="B4000000">
      <w:pPr>
        <w:ind w:firstLine="720"/>
        <w:jc w:val="both"/>
        <w:rPr>
          <w:sz w:val="28"/>
        </w:rPr>
      </w:pPr>
      <w:bookmarkEnd w:id="10"/>
    </w:p>
    <w:p w14:paraId="B5000000">
      <w:pPr>
        <w:ind w:firstLine="720"/>
        <w:jc w:val="both"/>
        <w:rPr>
          <w:sz w:val="28"/>
        </w:rPr>
      </w:pPr>
      <w:r>
        <w:rPr>
          <w:sz w:val="28"/>
        </w:rPr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14:paraId="B6000000">
      <w:pPr>
        <w:ind w:firstLine="720"/>
        <w:jc w:val="both"/>
        <w:rPr>
          <w:sz w:val="28"/>
        </w:rPr>
      </w:pPr>
      <w:r>
        <w:rPr>
          <w:sz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B7000000">
      <w:pPr>
        <w:ind w:firstLine="720"/>
        <w:jc w:val="both"/>
        <w:rPr>
          <w:sz w:val="28"/>
        </w:rPr>
      </w:pPr>
      <w:r>
        <w:rPr>
          <w:sz w:val="28"/>
        </w:rPr>
        <w:t>своевременности и оперативности выполнения поручений;</w:t>
      </w:r>
    </w:p>
    <w:p w14:paraId="B8000000">
      <w:pPr>
        <w:ind w:firstLine="720"/>
        <w:jc w:val="both"/>
        <w:rPr>
          <w:sz w:val="28"/>
        </w:rPr>
      </w:pPr>
      <w:r>
        <w:rPr>
          <w:sz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B9000000">
      <w:pPr>
        <w:ind w:firstLine="720"/>
        <w:jc w:val="both"/>
        <w:rPr>
          <w:sz w:val="28"/>
        </w:rPr>
      </w:pPr>
      <w:r>
        <w:rPr>
          <w:sz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BA000000">
      <w:pPr>
        <w:ind w:firstLine="720"/>
        <w:jc w:val="both"/>
        <w:rPr>
          <w:sz w:val="28"/>
        </w:rPr>
      </w:pPr>
      <w:r>
        <w:rPr>
          <w:sz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BB000000">
      <w:pPr>
        <w:ind w:firstLine="720"/>
        <w:jc w:val="both"/>
        <w:rPr>
          <w:sz w:val="28"/>
        </w:rPr>
      </w:pPr>
      <w:r>
        <w:rPr>
          <w:sz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BC000000">
      <w:pPr>
        <w:ind w:firstLine="720"/>
        <w:jc w:val="both"/>
        <w:rPr>
          <w:sz w:val="28"/>
        </w:rPr>
      </w:pPr>
      <w:r>
        <w:rPr>
          <w:sz w:val="28"/>
        </w:rPr>
        <w:t>осознанию ответственности за последствия своих действий, принимаемых решений.</w:t>
      </w:r>
    </w:p>
    <w:p w14:paraId="BD000000">
      <w:pPr>
        <w:ind w:firstLine="720"/>
        <w:jc w:val="both"/>
        <w:rPr>
          <w:sz w:val="28"/>
        </w:rPr>
      </w:pPr>
    </w:p>
    <w:p w14:paraId="BE000000">
      <w:pPr>
        <w:ind w:firstLine="720"/>
        <w:jc w:val="both"/>
        <w:rPr>
          <w:sz w:val="28"/>
        </w:rPr>
      </w:pPr>
    </w:p>
    <w:p w14:paraId="BF000000">
      <w:pPr>
        <w:rPr>
          <w:sz w:val="26"/>
        </w:rPr>
      </w:pPr>
      <w:r>
        <w:rPr>
          <w:sz w:val="26"/>
        </w:rPr>
        <w:t xml:space="preserve">Начальник отдела                                                                                       </w:t>
      </w:r>
      <w:r>
        <w:rPr>
          <w:sz w:val="26"/>
        </w:rPr>
        <w:t xml:space="preserve">      </w:t>
      </w:r>
      <w:r>
        <w:rPr>
          <w:sz w:val="26"/>
        </w:rPr>
        <w:t xml:space="preserve">    </w:t>
      </w:r>
      <w:r>
        <w:rPr>
          <w:sz w:val="26"/>
        </w:rPr>
        <w:t xml:space="preserve">О.Ф.Гильфанова </w:t>
      </w:r>
    </w:p>
    <w:p w14:paraId="C0000000">
      <w:pPr>
        <w:rPr>
          <w:sz w:val="26"/>
        </w:rPr>
      </w:pPr>
    </w:p>
    <w:p w14:paraId="C1000000">
      <w:pPr>
        <w:rPr>
          <w:sz w:val="26"/>
        </w:rPr>
      </w:pPr>
    </w:p>
    <w:p w14:paraId="C2000000">
      <w:pPr>
        <w:rPr>
          <w:sz w:val="26"/>
        </w:rPr>
      </w:pPr>
    </w:p>
    <w:p w14:paraId="C3000000">
      <w:pPr>
        <w:rPr>
          <w:sz w:val="26"/>
        </w:rPr>
      </w:pPr>
    </w:p>
    <w:p w14:paraId="C4000000">
      <w:pPr>
        <w:rPr>
          <w:sz w:val="26"/>
        </w:rPr>
      </w:pPr>
    </w:p>
    <w:p w14:paraId="C5000000">
      <w:pPr>
        <w:rPr>
          <w:sz w:val="26"/>
        </w:rPr>
      </w:pPr>
    </w:p>
    <w:p w14:paraId="C6000000">
      <w:pPr>
        <w:rPr>
          <w:sz w:val="26"/>
        </w:rPr>
      </w:pPr>
    </w:p>
    <w:p w14:paraId="C7000000">
      <w:pPr>
        <w:rPr>
          <w:sz w:val="26"/>
        </w:rPr>
      </w:pPr>
    </w:p>
    <w:p w14:paraId="C8000000">
      <w:pPr>
        <w:rPr>
          <w:sz w:val="26"/>
        </w:rPr>
      </w:pPr>
    </w:p>
    <w:p w14:paraId="C9000000">
      <w:pPr>
        <w:rPr>
          <w:sz w:val="26"/>
        </w:rPr>
      </w:pPr>
    </w:p>
    <w:p w14:paraId="CA000000">
      <w:pPr>
        <w:rPr>
          <w:sz w:val="26"/>
        </w:rPr>
      </w:pPr>
    </w:p>
    <w:p w14:paraId="CB000000">
      <w:pPr>
        <w:rPr>
          <w:sz w:val="26"/>
        </w:rPr>
      </w:pPr>
    </w:p>
    <w:p w14:paraId="CC000000">
      <w:pPr>
        <w:rPr>
          <w:sz w:val="26"/>
        </w:rPr>
      </w:pPr>
    </w:p>
    <w:p w14:paraId="CD000000">
      <w:pPr>
        <w:rPr>
          <w:sz w:val="26"/>
        </w:rPr>
      </w:pPr>
    </w:p>
    <w:p w14:paraId="CE000000">
      <w:pPr>
        <w:rPr>
          <w:sz w:val="26"/>
        </w:rPr>
      </w:pPr>
    </w:p>
    <w:p w14:paraId="CF000000">
      <w:pPr>
        <w:rPr>
          <w:sz w:val="26"/>
        </w:rPr>
      </w:pPr>
    </w:p>
    <w:p w14:paraId="D0000000">
      <w:pPr>
        <w:rPr>
          <w:sz w:val="26"/>
        </w:rPr>
      </w:pPr>
    </w:p>
    <w:p w14:paraId="D1000000">
      <w:pPr>
        <w:rPr>
          <w:sz w:val="26"/>
        </w:rPr>
      </w:pPr>
    </w:p>
    <w:p w14:paraId="D2000000">
      <w:pPr>
        <w:rPr>
          <w:sz w:val="26"/>
        </w:rPr>
      </w:pPr>
    </w:p>
    <w:p w14:paraId="D3000000">
      <w:pPr>
        <w:rPr>
          <w:sz w:val="26"/>
        </w:rPr>
      </w:pPr>
    </w:p>
    <w:p w14:paraId="D4000000">
      <w:pPr>
        <w:rPr>
          <w:sz w:val="26"/>
        </w:rPr>
      </w:pPr>
    </w:p>
    <w:p w14:paraId="D5000000">
      <w:pPr>
        <w:rPr>
          <w:sz w:val="26"/>
        </w:rPr>
      </w:pPr>
    </w:p>
    <w:p w14:paraId="D6000000">
      <w:pPr>
        <w:rPr>
          <w:sz w:val="26"/>
        </w:rPr>
      </w:pPr>
    </w:p>
    <w:p w14:paraId="D7000000">
      <w:pPr>
        <w:rPr>
          <w:sz w:val="26"/>
        </w:rPr>
      </w:pPr>
    </w:p>
    <w:p w14:paraId="D8000000">
      <w:pPr>
        <w:rPr>
          <w:sz w:val="26"/>
        </w:rPr>
      </w:pPr>
    </w:p>
    <w:p w14:paraId="D9000000">
      <w:pPr>
        <w:rPr>
          <w:sz w:val="26"/>
        </w:rPr>
      </w:pPr>
    </w:p>
    <w:p w14:paraId="DA000000">
      <w:pPr>
        <w:rPr>
          <w:sz w:val="26"/>
        </w:rPr>
      </w:pPr>
    </w:p>
    <w:p w14:paraId="DB000000">
      <w:pPr>
        <w:rPr>
          <w:sz w:val="26"/>
        </w:rPr>
      </w:pPr>
    </w:p>
    <w:p w14:paraId="DC000000">
      <w:pPr>
        <w:rPr>
          <w:sz w:val="26"/>
        </w:rPr>
      </w:pPr>
    </w:p>
    <w:p w14:paraId="DD000000">
      <w:pPr>
        <w:rPr>
          <w:sz w:val="26"/>
        </w:rPr>
      </w:pPr>
    </w:p>
    <w:p w14:paraId="DE000000">
      <w:pPr>
        <w:rPr>
          <w:sz w:val="26"/>
        </w:rPr>
      </w:pPr>
    </w:p>
    <w:p w14:paraId="DF000000">
      <w:pPr>
        <w:pStyle w:val="Style_2"/>
        <w:spacing w:after="0" w:before="0"/>
        <w:ind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Лист ознакомления</w:t>
      </w:r>
    </w:p>
    <w:p w14:paraId="E0000000">
      <w:pPr>
        <w:ind/>
        <w:jc w:val="center"/>
        <w:rPr>
          <w:sz w:val="28"/>
        </w:rPr>
      </w:pPr>
      <w:r>
        <w:rPr>
          <w:sz w:val="28"/>
        </w:rPr>
        <w:t xml:space="preserve">с должностным регламентом </w:t>
      </w:r>
      <w:r>
        <w:rPr>
          <w:sz w:val="28"/>
        </w:rPr>
        <w:t>заместителя начальника</w:t>
      </w:r>
    </w:p>
    <w:p w14:paraId="E1000000">
      <w:pPr>
        <w:ind/>
        <w:jc w:val="center"/>
        <w:rPr>
          <w:sz w:val="28"/>
        </w:rPr>
      </w:pPr>
      <w:r>
        <w:rPr>
          <w:sz w:val="28"/>
        </w:rPr>
        <w:t>отдела учета</w:t>
      </w:r>
      <w:r>
        <w:rPr>
          <w:sz w:val="28"/>
        </w:rPr>
        <w:t xml:space="preserve"> и работы с налогоплательщиками</w:t>
      </w:r>
    </w:p>
    <w:p w14:paraId="E2000000">
      <w:pPr>
        <w:ind/>
        <w:jc w:val="center"/>
        <w:rPr>
          <w:sz w:val="28"/>
        </w:rPr>
      </w:pPr>
      <w:r>
        <w:rPr>
          <w:sz w:val="28"/>
        </w:rPr>
        <w:t>Межрайонной ИФНС России №40 по Республике Башкортостан</w:t>
      </w:r>
    </w:p>
    <w:p w14:paraId="E3000000">
      <w:pPr>
        <w:ind/>
        <w:jc w:val="center"/>
        <w:rPr>
          <w:sz w:val="28"/>
        </w:rPr>
      </w:pPr>
    </w:p>
    <w:p w14:paraId="E4000000">
      <w:pPr>
        <w:ind/>
        <w:jc w:val="center"/>
        <w:rPr>
          <w:b w:val="1"/>
          <w:sz w:val="28"/>
        </w:rPr>
      </w:pPr>
    </w:p>
    <w:p w14:paraId="E5000000">
      <w:pPr>
        <w:ind/>
        <w:jc w:val="center"/>
        <w:rPr>
          <w:sz w:val="28"/>
        </w:rPr>
      </w:pPr>
    </w:p>
    <w:tbl>
      <w:tblPr>
        <w:tblStyle w:val="Style_3"/>
        <w:tblInd w:type="dxa" w:w="108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val="nil"/>
          <w:insideV w:color="000000" w:val="nil"/>
        </w:tblBorders>
        <w:tblLayout w:type="fixed"/>
      </w:tblPr>
      <w:tblGrid>
        <w:gridCol w:w="567"/>
        <w:gridCol w:w="2563"/>
        <w:gridCol w:w="2399"/>
        <w:gridCol w:w="2409"/>
        <w:gridCol w:w="2268"/>
      </w:tblGrid>
      <w:tr>
        <w:tc>
          <w:tcPr>
            <w:tcW w:type="dxa" w:w="5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6000000">
            <w:pPr>
              <w:pStyle w:val="Style_4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 п/п</w:t>
            </w:r>
          </w:p>
        </w:tc>
        <w:tc>
          <w:tcPr>
            <w:tcW w:type="dxa" w:w="25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7000000">
            <w:pPr>
              <w:pStyle w:val="Style_4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Фамилия, имя, отчество</w:t>
            </w:r>
          </w:p>
        </w:tc>
        <w:tc>
          <w:tcPr>
            <w:tcW w:type="dxa" w:w="239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8000000">
            <w:pPr>
              <w:pStyle w:val="Style_4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type="dxa" w:w="24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9000000">
            <w:pPr>
              <w:pStyle w:val="Style_4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 и номер приказа о назначении на должность</w:t>
            </w: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A000000">
            <w:pPr>
              <w:pStyle w:val="Style_4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 и номер приказа об освобождении от должности</w:t>
            </w:r>
          </w:p>
        </w:tc>
      </w:tr>
      <w:tr>
        <w:tc>
          <w:tcPr>
            <w:tcW w:type="dxa" w:w="5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B000000">
            <w:pPr>
              <w:pStyle w:val="Style_4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type="dxa" w:w="25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39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C000000">
            <w:pPr>
              <w:pStyle w:val="Style_4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24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D000000">
            <w:pPr>
              <w:pStyle w:val="Style_4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22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E000000">
            <w:pPr>
              <w:pStyle w:val="Style_4"/>
              <w:ind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14:paraId="EF000000">
      <w:pPr>
        <w:rPr>
          <w:sz w:val="26"/>
        </w:rPr>
      </w:pPr>
    </w:p>
    <w:p w14:paraId="F0000000">
      <w:pPr>
        <w:ind w:firstLine="720"/>
        <w:jc w:val="both"/>
        <w:rPr>
          <w:sz w:val="28"/>
        </w:rPr>
      </w:pPr>
    </w:p>
    <w:p w14:paraId="F1000000">
      <w:pPr>
        <w:ind w:firstLine="720"/>
        <w:jc w:val="both"/>
        <w:rPr>
          <w:sz w:val="28"/>
        </w:rPr>
      </w:pPr>
    </w:p>
    <w:p w14:paraId="F2000000">
      <w:pPr>
        <w:pStyle w:val="Style_1"/>
        <w:spacing w:after="0" w:before="0"/>
        <w:ind w:right="163"/>
        <w:jc w:val="both"/>
        <w:rPr>
          <w:sz w:val="26"/>
        </w:rPr>
      </w:pPr>
    </w:p>
    <w:p w14:paraId="F3000000">
      <w:pPr>
        <w:pStyle w:val="Style_1"/>
        <w:spacing w:after="0" w:before="0"/>
        <w:ind w:right="163"/>
        <w:jc w:val="both"/>
        <w:rPr>
          <w:sz w:val="26"/>
        </w:rPr>
      </w:pPr>
    </w:p>
    <w:p w14:paraId="F4000000">
      <w:pPr>
        <w:pStyle w:val="Style_1"/>
        <w:spacing w:after="0" w:before="0"/>
        <w:ind w:firstLine="567" w:right="163"/>
        <w:jc w:val="both"/>
        <w:rPr>
          <w:sz w:val="26"/>
        </w:rPr>
      </w:pPr>
    </w:p>
    <w:p w14:paraId="F5000000">
      <w:pPr>
        <w:pStyle w:val="Style_1"/>
        <w:spacing w:after="0" w:before="0"/>
        <w:ind w:firstLine="567" w:right="163"/>
        <w:jc w:val="both"/>
        <w:rPr>
          <w:sz w:val="26"/>
        </w:rPr>
      </w:pPr>
    </w:p>
    <w:p w14:paraId="F6000000">
      <w:pPr>
        <w:pStyle w:val="Style_1"/>
        <w:spacing w:after="0" w:before="0"/>
        <w:ind w:firstLine="567" w:right="163"/>
        <w:rPr>
          <w:sz w:val="26"/>
        </w:rPr>
      </w:pPr>
    </w:p>
    <w:p w14:paraId="F7000000">
      <w:pPr>
        <w:pStyle w:val="Style_1"/>
        <w:spacing w:after="0" w:before="0"/>
        <w:ind w:firstLine="567" w:right="163"/>
        <w:rPr>
          <w:sz w:val="26"/>
        </w:rPr>
      </w:pPr>
    </w:p>
    <w:p w14:paraId="F8000000">
      <w:pPr>
        <w:pStyle w:val="Style_1"/>
        <w:spacing w:after="0" w:before="0"/>
        <w:ind w:firstLine="567" w:right="163"/>
        <w:rPr>
          <w:sz w:val="26"/>
        </w:rPr>
      </w:pPr>
    </w:p>
    <w:p w14:paraId="F9000000">
      <w:pPr>
        <w:pStyle w:val="Style_1"/>
        <w:spacing w:after="0" w:before="0"/>
        <w:ind w:firstLine="567" w:right="163"/>
        <w:rPr>
          <w:sz w:val="26"/>
        </w:rPr>
      </w:pPr>
    </w:p>
    <w:p w14:paraId="FA000000">
      <w:pPr>
        <w:pStyle w:val="Style_1"/>
        <w:spacing w:after="0" w:before="0"/>
        <w:ind w:firstLine="567" w:right="163"/>
        <w:rPr>
          <w:sz w:val="26"/>
        </w:rPr>
      </w:pPr>
    </w:p>
    <w:p w14:paraId="FB000000">
      <w:pPr>
        <w:pStyle w:val="Style_1"/>
        <w:spacing w:after="0" w:before="0"/>
        <w:ind w:firstLine="567" w:right="163"/>
        <w:rPr>
          <w:sz w:val="26"/>
        </w:rPr>
      </w:pPr>
    </w:p>
    <w:p w14:paraId="FC000000">
      <w:pPr>
        <w:pStyle w:val="Style_1"/>
        <w:spacing w:after="0" w:before="0"/>
        <w:ind w:firstLine="567" w:right="163"/>
        <w:rPr>
          <w:sz w:val="26"/>
        </w:rPr>
      </w:pPr>
    </w:p>
    <w:p w14:paraId="FD000000">
      <w:pPr>
        <w:pStyle w:val="Style_1"/>
        <w:spacing w:after="0" w:before="0"/>
        <w:ind w:firstLine="567" w:right="163"/>
        <w:rPr>
          <w:sz w:val="26"/>
        </w:rPr>
      </w:pPr>
    </w:p>
    <w:p w14:paraId="FE000000">
      <w:pPr>
        <w:pStyle w:val="Style_1"/>
        <w:spacing w:after="0" w:before="0"/>
        <w:ind w:firstLine="567" w:right="163"/>
        <w:rPr>
          <w:sz w:val="26"/>
        </w:rPr>
      </w:pPr>
    </w:p>
    <w:p w14:paraId="FF000000">
      <w:pPr>
        <w:pStyle w:val="Style_1"/>
        <w:spacing w:after="0" w:before="0"/>
        <w:ind w:firstLine="567" w:right="163"/>
        <w:rPr>
          <w:sz w:val="26"/>
        </w:rPr>
      </w:pPr>
    </w:p>
    <w:p w14:paraId="00010000">
      <w:pPr>
        <w:pStyle w:val="Style_1"/>
        <w:spacing w:after="0" w:before="0"/>
        <w:ind w:firstLine="567" w:right="163"/>
        <w:rPr>
          <w:sz w:val="26"/>
        </w:rPr>
      </w:pPr>
    </w:p>
    <w:p w14:paraId="01010000">
      <w:pPr>
        <w:pStyle w:val="Style_1"/>
        <w:spacing w:after="0" w:before="0"/>
        <w:ind w:firstLine="567" w:right="163"/>
        <w:rPr>
          <w:sz w:val="26"/>
        </w:rPr>
      </w:pPr>
    </w:p>
    <w:p w14:paraId="02010000">
      <w:pPr>
        <w:pStyle w:val="Style_1"/>
        <w:spacing w:after="0" w:before="0"/>
        <w:ind w:firstLine="567" w:right="163"/>
        <w:rPr>
          <w:sz w:val="26"/>
        </w:rPr>
      </w:pPr>
    </w:p>
    <w:p w14:paraId="03010000">
      <w:pPr>
        <w:pStyle w:val="Style_1"/>
        <w:spacing w:after="0" w:before="0"/>
        <w:ind w:firstLine="567" w:right="163"/>
        <w:rPr>
          <w:sz w:val="26"/>
        </w:rPr>
      </w:pPr>
    </w:p>
    <w:p w14:paraId="04010000">
      <w:pPr>
        <w:pStyle w:val="Style_1"/>
        <w:spacing w:after="0" w:before="0"/>
        <w:ind w:firstLine="567" w:right="163"/>
        <w:rPr>
          <w:sz w:val="26"/>
        </w:rPr>
      </w:pPr>
    </w:p>
    <w:p w14:paraId="05010000">
      <w:pPr>
        <w:pStyle w:val="Style_1"/>
        <w:spacing w:after="0" w:before="0"/>
        <w:ind w:firstLine="567" w:right="163"/>
        <w:rPr>
          <w:sz w:val="26"/>
        </w:rPr>
      </w:pPr>
    </w:p>
    <w:p w14:paraId="06010000">
      <w:pPr>
        <w:pStyle w:val="Style_1"/>
        <w:spacing w:after="0" w:before="0"/>
        <w:ind w:firstLine="567" w:right="163"/>
        <w:rPr>
          <w:sz w:val="26"/>
        </w:rPr>
      </w:pPr>
    </w:p>
    <w:p w14:paraId="07010000">
      <w:pPr>
        <w:pStyle w:val="Style_1"/>
        <w:spacing w:after="0" w:before="0"/>
        <w:ind w:firstLine="567" w:right="163"/>
        <w:rPr>
          <w:sz w:val="26"/>
        </w:rPr>
      </w:pPr>
    </w:p>
    <w:p w14:paraId="08010000">
      <w:pPr>
        <w:pStyle w:val="Style_1"/>
        <w:spacing w:after="0" w:before="0"/>
        <w:ind w:right="163"/>
        <w:rPr>
          <w:sz w:val="26"/>
        </w:rPr>
      </w:pPr>
    </w:p>
    <w:p w14:paraId="09010000">
      <w:pPr>
        <w:pStyle w:val="Style_1"/>
        <w:spacing w:after="0" w:before="0"/>
        <w:ind w:right="163"/>
        <w:rPr>
          <w:sz w:val="26"/>
        </w:rPr>
      </w:pPr>
    </w:p>
    <w:p w14:paraId="0A010000">
      <w:pPr>
        <w:pStyle w:val="Style_1"/>
        <w:spacing w:after="0" w:before="0"/>
        <w:ind w:right="163"/>
        <w:rPr>
          <w:sz w:val="26"/>
        </w:rPr>
      </w:pPr>
    </w:p>
    <w:p w14:paraId="0B010000">
      <w:pPr>
        <w:pStyle w:val="Style_1"/>
        <w:spacing w:after="0" w:before="0"/>
        <w:ind w:right="163"/>
        <w:rPr>
          <w:sz w:val="26"/>
        </w:rPr>
      </w:pPr>
    </w:p>
    <w:sectPr>
      <w:pgSz w:h="16838" w:w="11906"/>
      <w:pgMar w:bottom="1134" w:footer="709" w:gutter="0" w:header="709" w:left="1134" w:right="56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abstractNum w:abstractNumId="0">
    <w:lvl w:ilvl="0">
      <w:start w:val="1"/>
      <w:numFmt w:val="decimal"/>
      <w:lvlText w:val="%1)"/>
      <w:lvlJc w:val="left"/>
      <w:pPr>
        <w:ind w:hanging="360" w:left="928"/>
      </w:pPr>
    </w:lvl>
    <w:lvl w:ilvl="1">
      <w:start w:val="1"/>
      <w:numFmt w:val="lowerLetter"/>
      <w:lvlText w:val="%2."/>
      <w:lvlJc w:val="left"/>
      <w:pPr>
        <w:ind w:hanging="360" w:left="1648"/>
      </w:pPr>
    </w:lvl>
    <w:lvl w:ilvl="2">
      <w:start w:val="1"/>
      <w:numFmt w:val="lowerRoman"/>
      <w:lvlText w:val="%3."/>
      <w:lvlJc w:val="right"/>
      <w:pPr>
        <w:ind w:hanging="180" w:left="2368"/>
      </w:pPr>
    </w:lvl>
    <w:lvl w:ilvl="3">
      <w:start w:val="1"/>
      <w:numFmt w:val="decimal"/>
      <w:lvlText w:val="%4."/>
      <w:lvlJc w:val="left"/>
      <w:pPr>
        <w:ind w:hanging="360" w:left="3088"/>
      </w:pPr>
    </w:lvl>
    <w:lvl w:ilvl="4">
      <w:start w:val="1"/>
      <w:numFmt w:val="lowerLetter"/>
      <w:lvlText w:val="%5."/>
      <w:lvlJc w:val="left"/>
      <w:pPr>
        <w:ind w:hanging="360" w:left="3808"/>
      </w:pPr>
    </w:lvl>
    <w:lvl w:ilvl="5">
      <w:start w:val="1"/>
      <w:numFmt w:val="lowerRoman"/>
      <w:lvlText w:val="%6."/>
      <w:lvlJc w:val="right"/>
      <w:pPr>
        <w:ind w:hanging="180" w:left="4528"/>
      </w:pPr>
    </w:lvl>
    <w:lvl w:ilvl="6">
      <w:start w:val="1"/>
      <w:numFmt w:val="decimal"/>
      <w:lvlText w:val="%7."/>
      <w:lvlJc w:val="left"/>
      <w:pPr>
        <w:ind w:hanging="360" w:left="5248"/>
      </w:pPr>
    </w:lvl>
    <w:lvl w:ilvl="7">
      <w:start w:val="1"/>
      <w:numFmt w:val="lowerLetter"/>
      <w:lvlText w:val="%8."/>
      <w:lvlJc w:val="left"/>
      <w:pPr>
        <w:ind w:hanging="360" w:left="5968"/>
      </w:pPr>
    </w:lvl>
    <w:lvl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">
    <w:lvl w:ilvl="0">
      <w:start w:val="1"/>
      <w:numFmt w:val="decimal"/>
      <w:lvlText w:val="%1)"/>
      <w:lvlJc w:val="left"/>
      <w:pPr>
        <w:ind w:hanging="360" w:left="928"/>
      </w:pPr>
    </w:lvl>
    <w:lvl w:ilvl="1">
      <w:start w:val="1"/>
      <w:numFmt w:val="lowerLetter"/>
      <w:lvlText w:val="%2."/>
      <w:lvlJc w:val="left"/>
      <w:pPr>
        <w:ind w:hanging="360" w:left="939"/>
      </w:pPr>
    </w:lvl>
    <w:lvl w:ilvl="2">
      <w:start w:val="1"/>
      <w:numFmt w:val="lowerRoman"/>
      <w:lvlText w:val="%3."/>
      <w:lvlJc w:val="right"/>
      <w:pPr>
        <w:ind w:hanging="180" w:left="1659"/>
      </w:pPr>
    </w:lvl>
    <w:lvl w:ilvl="3">
      <w:start w:val="1"/>
      <w:numFmt w:val="decimal"/>
      <w:lvlText w:val="%4."/>
      <w:lvlJc w:val="left"/>
      <w:pPr>
        <w:ind w:hanging="360" w:left="2379"/>
      </w:pPr>
    </w:lvl>
    <w:lvl w:ilvl="4">
      <w:start w:val="1"/>
      <w:numFmt w:val="lowerLetter"/>
      <w:lvlText w:val="%5."/>
      <w:lvlJc w:val="left"/>
      <w:pPr>
        <w:ind w:hanging="360" w:left="3099"/>
      </w:pPr>
    </w:lvl>
    <w:lvl w:ilvl="5">
      <w:start w:val="1"/>
      <w:numFmt w:val="lowerRoman"/>
      <w:lvlText w:val="%6."/>
      <w:lvlJc w:val="right"/>
      <w:pPr>
        <w:ind w:hanging="180" w:left="3819"/>
      </w:pPr>
    </w:lvl>
    <w:lvl w:ilvl="6">
      <w:start w:val="1"/>
      <w:numFmt w:val="decimal"/>
      <w:lvlText w:val="%7."/>
      <w:lvlJc w:val="left"/>
      <w:pPr>
        <w:ind w:hanging="360" w:left="4539"/>
      </w:pPr>
    </w:lvl>
    <w:lvl w:ilvl="7">
      <w:start w:val="1"/>
      <w:numFmt w:val="lowerLetter"/>
      <w:lvlText w:val="%8."/>
      <w:lvlJc w:val="left"/>
      <w:pPr>
        <w:ind w:hanging="360" w:left="5259"/>
      </w:pPr>
    </w:lvl>
    <w:lvl w:ilvl="8">
      <w:start w:val="1"/>
      <w:numFmt w:val="lowerRoman"/>
      <w:lvlText w:val="%9."/>
      <w:lvlJc w:val="right"/>
      <w:pPr>
        <w:ind w:hanging="180" w:left="597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rPr>
      <w:sz w:val="24"/>
    </w:rPr>
  </w:style>
  <w:style w:default="1" w:styleId="Style_5_ch" w:type="character">
    <w:name w:val="Normal"/>
    <w:link w:val="Style_5"/>
    <w:rPr>
      <w:sz w:val="24"/>
    </w:rPr>
  </w:style>
  <w:style w:styleId="Style_1" w:type="paragraph">
    <w:name w:val="Normal (Web)"/>
    <w:basedOn w:val="Style_5"/>
    <w:link w:val="Style_1_ch"/>
    <w:pPr>
      <w:spacing w:afterAutospacing="on" w:beforeAutospacing="on"/>
      <w:ind/>
    </w:pPr>
  </w:style>
  <w:style w:styleId="Style_1_ch" w:type="character">
    <w:name w:val="Normal (Web)"/>
    <w:basedOn w:val="Style_5_ch"/>
    <w:link w:val="Style_1"/>
  </w:style>
  <w:style w:styleId="Style_6" w:type="paragraph">
    <w:name w:val="toc 2"/>
    <w:next w:val="Style_5"/>
    <w:link w:val="Style_6_ch"/>
    <w:uiPriority w:val="39"/>
    <w:pPr>
      <w:ind w:firstLine="0" w:left="200"/>
    </w:pPr>
  </w:style>
  <w:style w:styleId="Style_6_ch" w:type="character">
    <w:name w:val="toc 2"/>
    <w:link w:val="Style_6"/>
  </w:style>
  <w:style w:styleId="Style_7" w:type="paragraph">
    <w:name w:val="toc 4"/>
    <w:next w:val="Style_5"/>
    <w:link w:val="Style_7_ch"/>
    <w:uiPriority w:val="39"/>
    <w:pPr>
      <w:ind w:firstLine="0" w:left="600"/>
    </w:pPr>
  </w:style>
  <w:style w:styleId="Style_7_ch" w:type="character">
    <w:name w:val="toc 4"/>
    <w:link w:val="Style_7"/>
  </w:style>
  <w:style w:styleId="Style_8" w:type="paragraph">
    <w:name w:val="toc 6"/>
    <w:next w:val="Style_5"/>
    <w:link w:val="Style_8_ch"/>
    <w:uiPriority w:val="39"/>
    <w:pPr>
      <w:ind w:firstLine="0" w:left="1000"/>
    </w:pPr>
  </w:style>
  <w:style w:styleId="Style_8_ch" w:type="character">
    <w:name w:val="toc 6"/>
    <w:link w:val="Style_8"/>
  </w:style>
  <w:style w:styleId="Style_9" w:type="paragraph">
    <w:name w:val="Body Text Indent 2"/>
    <w:basedOn w:val="Style_5"/>
    <w:link w:val="Style_9_ch"/>
    <w:pPr>
      <w:spacing w:after="120" w:line="480" w:lineRule="auto"/>
      <w:ind w:firstLine="0" w:left="283"/>
    </w:pPr>
  </w:style>
  <w:style w:styleId="Style_9_ch" w:type="character">
    <w:name w:val="Body Text Indent 2"/>
    <w:basedOn w:val="Style_5_ch"/>
    <w:link w:val="Style_9"/>
  </w:style>
  <w:style w:styleId="Style_10" w:type="paragraph">
    <w:name w:val="toc 7"/>
    <w:next w:val="Style_5"/>
    <w:link w:val="Style_10_ch"/>
    <w:uiPriority w:val="39"/>
    <w:pPr>
      <w:ind w:firstLine="0" w:left="1200"/>
    </w:pPr>
  </w:style>
  <w:style w:styleId="Style_10_ch" w:type="character">
    <w:name w:val="toc 7"/>
    <w:link w:val="Style_10"/>
  </w:style>
  <w:style w:styleId="Style_11" w:type="paragraph">
    <w:name w:val="heading 3"/>
    <w:next w:val="Style_5"/>
    <w:link w:val="Style_11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11_ch" w:type="character">
    <w:name w:val="heading 3"/>
    <w:link w:val="Style_11"/>
    <w:rPr>
      <w:rFonts w:ascii="XO Thames" w:hAnsi="XO Thames"/>
      <w:b w:val="1"/>
      <w:i w:val="1"/>
      <w:color w:val="000000"/>
    </w:rPr>
  </w:style>
  <w:style w:styleId="Style_12" w:type="paragraph">
    <w:name w:val="ConsPlusNormal"/>
    <w:link w:val="Style_12_ch"/>
    <w:pPr>
      <w:widowControl w:val="0"/>
      <w:ind w:firstLine="720"/>
    </w:pPr>
    <w:rPr>
      <w:rFonts w:ascii="Arial" w:hAnsi="Arial"/>
    </w:rPr>
  </w:style>
  <w:style w:styleId="Style_12_ch" w:type="character">
    <w:name w:val="ConsPlusNormal"/>
    <w:link w:val="Style_12"/>
    <w:rPr>
      <w:rFonts w:ascii="Arial" w:hAnsi="Arial"/>
    </w:rPr>
  </w:style>
  <w:style w:styleId="Style_4" w:type="paragraph">
    <w:name w:val="Нормальный (таблица)"/>
    <w:basedOn w:val="Style_5"/>
    <w:next w:val="Style_5"/>
    <w:link w:val="Style_4_ch"/>
    <w:pPr>
      <w:widowControl w:val="0"/>
      <w:ind/>
      <w:jc w:val="both"/>
    </w:pPr>
    <w:rPr>
      <w:rFonts w:ascii="Arial" w:hAnsi="Arial"/>
    </w:rPr>
  </w:style>
  <w:style w:styleId="Style_4_ch" w:type="character">
    <w:name w:val="Нормальный (таблица)"/>
    <w:basedOn w:val="Style_5_ch"/>
    <w:link w:val="Style_4"/>
    <w:rPr>
      <w:rFonts w:ascii="Arial" w:hAnsi="Arial"/>
    </w:rPr>
  </w:style>
  <w:style w:styleId="Style_13" w:type="paragraph">
    <w:name w:val="toc 3"/>
    <w:next w:val="Style_5"/>
    <w:link w:val="Style_13_ch"/>
    <w:uiPriority w:val="39"/>
    <w:pPr>
      <w:ind w:firstLine="0" w:left="400"/>
    </w:pPr>
  </w:style>
  <w:style w:styleId="Style_13_ch" w:type="character">
    <w:name w:val="toc 3"/>
    <w:link w:val="Style_13"/>
  </w:style>
  <w:style w:styleId="Style_14" w:type="paragraph">
    <w:name w:val="Body Text"/>
    <w:basedOn w:val="Style_5"/>
    <w:link w:val="Style_14_ch"/>
    <w:pPr>
      <w:spacing w:after="120"/>
      <w:ind/>
    </w:pPr>
  </w:style>
  <w:style w:styleId="Style_14_ch" w:type="character">
    <w:name w:val="Body Text"/>
    <w:basedOn w:val="Style_5_ch"/>
    <w:link w:val="Style_14"/>
  </w:style>
  <w:style w:styleId="Style_15" w:type="paragraph">
    <w:name w:val="heading 5"/>
    <w:next w:val="Style_5"/>
    <w:link w:val="Style_15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15_ch" w:type="character">
    <w:name w:val="heading 5"/>
    <w:link w:val="Style_15"/>
    <w:rPr>
      <w:rFonts w:ascii="XO Thames" w:hAnsi="XO Thames"/>
      <w:b w:val="1"/>
      <w:color w:val="000000"/>
      <w:sz w:val="22"/>
    </w:rPr>
  </w:style>
  <w:style w:styleId="Style_2" w:type="paragraph">
    <w:name w:val="heading 1"/>
    <w:basedOn w:val="Style_5"/>
    <w:next w:val="Style_5"/>
    <w:link w:val="Style_2_ch"/>
    <w:uiPriority w:val="9"/>
    <w:qFormat/>
    <w:pPr>
      <w:spacing w:after="108" w:before="108"/>
      <w:ind/>
      <w:jc w:val="center"/>
      <w:outlineLvl w:val="0"/>
    </w:pPr>
    <w:rPr>
      <w:rFonts w:ascii="Arial" w:hAnsi="Arial"/>
      <w:b w:val="1"/>
      <w:color w:val="000080"/>
      <w:sz w:val="20"/>
    </w:rPr>
  </w:style>
  <w:style w:styleId="Style_2_ch" w:type="character">
    <w:name w:val="heading 1"/>
    <w:basedOn w:val="Style_5_ch"/>
    <w:link w:val="Style_2"/>
    <w:rPr>
      <w:rFonts w:ascii="Arial" w:hAnsi="Arial"/>
      <w:b w:val="1"/>
      <w:color w:val="000080"/>
      <w:sz w:val="20"/>
    </w:rPr>
  </w:style>
  <w:style w:styleId="Style_16" w:type="paragraph">
    <w:name w:val="Hyperlink"/>
    <w:link w:val="Style_16_ch"/>
    <w:rPr>
      <w:color w:val="0000FF"/>
      <w:u w:val="single"/>
    </w:rPr>
  </w:style>
  <w:style w:styleId="Style_16_ch" w:type="character">
    <w:name w:val="Hyperlink"/>
    <w:link w:val="Style_16"/>
    <w:rPr>
      <w:color w:val="0000FF"/>
      <w:u w:val="single"/>
    </w:rPr>
  </w:style>
  <w:style w:styleId="Style_17" w:type="paragraph">
    <w:name w:val="Footnote"/>
    <w:link w:val="Style_17_ch"/>
    <w:pPr>
      <w:ind/>
      <w:jc w:val="left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5"/>
    <w:link w:val="Style_18_ch"/>
    <w:uiPriority w:val="39"/>
    <w:pPr>
      <w:ind w:firstLine="0" w:left="0"/>
    </w:pPr>
    <w:rPr>
      <w:rFonts w:ascii="XO Thames" w:hAnsi="XO Thames"/>
      <w:b w:val="1"/>
    </w:rPr>
  </w:style>
  <w:style w:styleId="Style_18_ch" w:type="character">
    <w:name w:val="toc 1"/>
    <w:link w:val="Style_18"/>
    <w:rPr>
      <w:rFonts w:ascii="XO Thames" w:hAnsi="XO Thames"/>
      <w:b w:val="1"/>
    </w:rPr>
  </w:style>
  <w:style w:styleId="Style_19" w:type="paragraph">
    <w:name w:val="Header and Footer"/>
    <w:link w:val="Style_19_ch"/>
    <w:pPr>
      <w:spacing w:line="360" w:lineRule="auto"/>
      <w:ind/>
    </w:pPr>
    <w:rPr>
      <w:rFonts w:ascii="XO Thames" w:hAnsi="XO Thames"/>
      <w:sz w:val="20"/>
    </w:rPr>
  </w:style>
  <w:style w:styleId="Style_19_ch" w:type="character">
    <w:name w:val="Header and Footer"/>
    <w:link w:val="Style_19"/>
    <w:rPr>
      <w:rFonts w:ascii="XO Thames" w:hAnsi="XO Thames"/>
      <w:sz w:val="20"/>
    </w:rPr>
  </w:style>
  <w:style w:styleId="Style_20" w:type="paragraph">
    <w:name w:val="toc 9"/>
    <w:next w:val="Style_5"/>
    <w:link w:val="Style_20_ch"/>
    <w:uiPriority w:val="39"/>
    <w:pPr>
      <w:ind w:firstLine="0" w:left="1600"/>
    </w:pPr>
  </w:style>
  <w:style w:styleId="Style_20_ch" w:type="character">
    <w:name w:val="toc 9"/>
    <w:link w:val="Style_20"/>
  </w:style>
  <w:style w:styleId="Style_21" w:type="paragraph">
    <w:name w:val="ConsPlusNonformat"/>
    <w:link w:val="Style_21_ch"/>
    <w:pPr>
      <w:widowControl w:val="0"/>
      <w:ind/>
    </w:pPr>
    <w:rPr>
      <w:rFonts w:ascii="Courier New" w:hAnsi="Courier New"/>
    </w:rPr>
  </w:style>
  <w:style w:styleId="Style_21_ch" w:type="character">
    <w:name w:val="ConsPlusNonformat"/>
    <w:link w:val="Style_21"/>
    <w:rPr>
      <w:rFonts w:ascii="Courier New" w:hAnsi="Courier New"/>
    </w:rPr>
  </w:style>
  <w:style w:styleId="Style_22" w:type="paragraph">
    <w:name w:val="Body Text 2"/>
    <w:basedOn w:val="Style_5"/>
    <w:link w:val="Style_22_ch"/>
    <w:pPr>
      <w:spacing w:after="120" w:line="480" w:lineRule="auto"/>
      <w:ind/>
    </w:pPr>
  </w:style>
  <w:style w:styleId="Style_22_ch" w:type="character">
    <w:name w:val="Body Text 2"/>
    <w:basedOn w:val="Style_5_ch"/>
    <w:link w:val="Style_22"/>
  </w:style>
  <w:style w:styleId="Style_23" w:type="paragraph">
    <w:name w:val="Block Text"/>
    <w:basedOn w:val="Style_5"/>
    <w:link w:val="Style_23_ch"/>
    <w:pPr>
      <w:widowControl w:val="0"/>
      <w:ind w:firstLine="567" w:left="284" w:right="-312"/>
      <w:jc w:val="both"/>
    </w:pPr>
    <w:rPr>
      <w:sz w:val="28"/>
    </w:rPr>
  </w:style>
  <w:style w:styleId="Style_23_ch" w:type="character">
    <w:name w:val="Block Text"/>
    <w:basedOn w:val="Style_5_ch"/>
    <w:link w:val="Style_23"/>
    <w:rPr>
      <w:sz w:val="28"/>
    </w:rPr>
  </w:style>
  <w:style w:styleId="Style_24" w:type="paragraph">
    <w:name w:val="toc 8"/>
    <w:next w:val="Style_5"/>
    <w:link w:val="Style_24_ch"/>
    <w:uiPriority w:val="39"/>
    <w:pPr>
      <w:ind w:firstLine="0" w:left="1400"/>
    </w:pPr>
  </w:style>
  <w:style w:styleId="Style_24_ch" w:type="character">
    <w:name w:val="toc 8"/>
    <w:link w:val="Style_24"/>
  </w:style>
  <w:style w:styleId="Style_25" w:type="paragraph">
    <w:basedOn w:val="Style_5"/>
    <w:link w:val="Style_25_ch"/>
    <w:semiHidden w:val="1"/>
    <w:unhideWhenUsed w:val="1"/>
    <w:pPr>
      <w:widowControl w:val="0"/>
      <w:tabs>
        <w:tab w:leader="none" w:pos="900" w:val="left"/>
      </w:tabs>
      <w:spacing w:after="160" w:line="240" w:lineRule="exact"/>
      <w:ind w:hanging="360" w:left="900"/>
      <w:jc w:val="center"/>
    </w:pPr>
    <w:rPr>
      <w:b w:val="1"/>
      <w:i w:val="1"/>
      <w:sz w:val="28"/>
    </w:rPr>
  </w:style>
  <w:style w:styleId="Style_25_ch" w:type="character">
    <w:basedOn w:val="Style_5_ch"/>
    <w:link w:val="Style_25"/>
    <w:semiHidden w:val="1"/>
    <w:unhideWhenUsed w:val="1"/>
    <w:rPr>
      <w:b w:val="1"/>
      <w:i w:val="1"/>
      <w:sz w:val="28"/>
    </w:rPr>
  </w:style>
  <w:style w:styleId="Style_26" w:type="paragraph">
    <w:name w:val="toc 5"/>
    <w:next w:val="Style_5"/>
    <w:link w:val="Style_26_ch"/>
    <w:uiPriority w:val="39"/>
    <w:pPr>
      <w:ind w:firstLine="0" w:left="800"/>
    </w:pPr>
  </w:style>
  <w:style w:styleId="Style_26_ch" w:type="character">
    <w:name w:val="toc 5"/>
    <w:link w:val="Style_26"/>
  </w:style>
  <w:style w:styleId="Style_27" w:type="paragraph">
    <w:name w:val="Знак Знак Знак1 Знак Знак Знак Знак"/>
    <w:basedOn w:val="Style_5"/>
    <w:link w:val="Style_27_ch"/>
    <w:pPr>
      <w:widowControl w:val="0"/>
      <w:tabs>
        <w:tab w:leader="none" w:pos="900" w:val="left"/>
      </w:tabs>
      <w:spacing w:after="160" w:line="240" w:lineRule="exact"/>
      <w:ind w:hanging="360" w:left="900"/>
      <w:jc w:val="center"/>
    </w:pPr>
    <w:rPr>
      <w:b w:val="1"/>
      <w:i w:val="1"/>
      <w:sz w:val="28"/>
    </w:rPr>
  </w:style>
  <w:style w:styleId="Style_27_ch" w:type="character">
    <w:name w:val="Знак Знак Знак1 Знак Знак Знак Знак"/>
    <w:basedOn w:val="Style_5_ch"/>
    <w:link w:val="Style_27"/>
    <w:rPr>
      <w:b w:val="1"/>
      <w:i w:val="1"/>
      <w:sz w:val="28"/>
    </w:rPr>
  </w:style>
  <w:style w:styleId="Style_28" w:type="paragraph">
    <w:name w:val="Subtitle"/>
    <w:next w:val="Style_5"/>
    <w:link w:val="Style_28_ch"/>
    <w:uiPriority w:val="11"/>
    <w:qFormat/>
    <w:rPr>
      <w:rFonts w:ascii="XO Thames" w:hAnsi="XO Thames"/>
      <w:i w:val="1"/>
      <w:color w:val="616161"/>
      <w:sz w:val="24"/>
    </w:rPr>
  </w:style>
  <w:style w:styleId="Style_28_ch" w:type="character">
    <w:name w:val="Subtitle"/>
    <w:link w:val="Style_28"/>
    <w:rPr>
      <w:rFonts w:ascii="XO Thames" w:hAnsi="XO Thames"/>
      <w:i w:val="1"/>
      <w:color w:val="616161"/>
      <w:sz w:val="24"/>
    </w:rPr>
  </w:style>
  <w:style w:styleId="Style_29" w:type="paragraph">
    <w:name w:val="Balloon Text"/>
    <w:basedOn w:val="Style_5"/>
    <w:link w:val="Style_29_ch"/>
    <w:rPr>
      <w:rFonts w:ascii="Tahoma" w:hAnsi="Tahoma"/>
      <w:sz w:val="16"/>
    </w:rPr>
  </w:style>
  <w:style w:styleId="Style_29_ch" w:type="character">
    <w:name w:val="Balloon Text"/>
    <w:basedOn w:val="Style_5_ch"/>
    <w:link w:val="Style_29"/>
    <w:rPr>
      <w:rFonts w:ascii="Tahoma" w:hAnsi="Tahoma"/>
      <w:sz w:val="16"/>
    </w:rPr>
  </w:style>
  <w:style w:styleId="Style_30" w:type="paragraph">
    <w:name w:val="toc 10"/>
    <w:next w:val="Style_5"/>
    <w:link w:val="Style_30_ch"/>
    <w:uiPriority w:val="39"/>
    <w:pPr>
      <w:ind w:firstLine="0" w:left="1800"/>
    </w:pPr>
  </w:style>
  <w:style w:styleId="Style_30_ch" w:type="character">
    <w:name w:val="toc 10"/>
    <w:link w:val="Style_30"/>
  </w:style>
  <w:style w:styleId="Style_31" w:type="paragraph">
    <w:name w:val="Body Text Indent"/>
    <w:basedOn w:val="Style_5"/>
    <w:link w:val="Style_31_ch"/>
    <w:pPr>
      <w:widowControl w:val="0"/>
      <w:spacing w:before="200" w:line="252" w:lineRule="auto"/>
      <w:ind w:hanging="560" w:left="560"/>
    </w:pPr>
    <w:rPr>
      <w:sz w:val="28"/>
    </w:rPr>
  </w:style>
  <w:style w:styleId="Style_31_ch" w:type="character">
    <w:name w:val="Body Text Indent"/>
    <w:basedOn w:val="Style_5_ch"/>
    <w:link w:val="Style_31"/>
    <w:rPr>
      <w:sz w:val="28"/>
    </w:rPr>
  </w:style>
  <w:style w:styleId="Style_32" w:type="paragraph">
    <w:name w:val="Block Text"/>
    <w:basedOn w:val="Style_5"/>
    <w:link w:val="Style_32_ch"/>
    <w:pPr>
      <w:ind w:firstLine="0" w:left="567" w:right="521"/>
      <w:jc w:val="both"/>
    </w:pPr>
    <w:rPr>
      <w:rFonts w:ascii="‹атинский" w:hAnsi="‹атинский"/>
      <w:sz w:val="28"/>
    </w:rPr>
  </w:style>
  <w:style w:styleId="Style_32_ch" w:type="character">
    <w:name w:val="Block Text"/>
    <w:basedOn w:val="Style_5_ch"/>
    <w:link w:val="Style_32"/>
    <w:rPr>
      <w:rFonts w:ascii="‹атинский" w:hAnsi="‹атинский"/>
      <w:sz w:val="28"/>
    </w:rPr>
  </w:style>
  <w:style w:styleId="Style_33" w:type="paragraph">
    <w:name w:val="Title"/>
    <w:next w:val="Style_5"/>
    <w:link w:val="Style_33_ch"/>
    <w:uiPriority w:val="10"/>
    <w:qFormat/>
    <w:rPr>
      <w:rFonts w:ascii="XO Thames" w:hAnsi="XO Thames"/>
      <w:b w:val="1"/>
      <w:sz w:val="52"/>
    </w:rPr>
  </w:style>
  <w:style w:styleId="Style_33_ch" w:type="character">
    <w:name w:val="Title"/>
    <w:link w:val="Style_33"/>
    <w:rPr>
      <w:rFonts w:ascii="XO Thames" w:hAnsi="XO Thames"/>
      <w:b w:val="1"/>
      <w:sz w:val="52"/>
    </w:rPr>
  </w:style>
  <w:style w:styleId="Style_34" w:type="paragraph">
    <w:name w:val="heading 4"/>
    <w:next w:val="Style_5"/>
    <w:link w:val="Style_34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34_ch" w:type="character">
    <w:name w:val="heading 4"/>
    <w:link w:val="Style_34"/>
    <w:rPr>
      <w:rFonts w:ascii="XO Thames" w:hAnsi="XO Thames"/>
      <w:b w:val="1"/>
      <w:color w:val="595959"/>
      <w:sz w:val="26"/>
    </w:rPr>
  </w:style>
  <w:style w:styleId="Style_35" w:type="paragraph">
    <w:name w:val="heading 2"/>
    <w:next w:val="Style_5"/>
    <w:link w:val="Style_35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35_ch" w:type="character">
    <w:name w:val="heading 2"/>
    <w:link w:val="Style_35"/>
    <w:rPr>
      <w:rFonts w:ascii="XO Thames" w:hAnsi="XO Thames"/>
      <w:b w:val="1"/>
      <w:color w:val="00A0FF"/>
      <w:sz w:val="26"/>
    </w:r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numbering.xml" Type="http://schemas.openxmlformats.org/officeDocument/2006/relationships/numbering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_rels/core.xml.rels><?xml version="1.0" encoding="UTF-8" standalone="no" ?>
<Relationships xmlns="http://schemas.openxmlformats.org/package/2006/relationships">
  <Relationship Id="rId1" Target="core.xml" Type="http://schemas.openxmlformats.org/officeDocument/2006/relationships/extended-properties"/>
</Relationships>
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MyOffice-CoreFramework-Windows/21.0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2021-08-19T12:02:52Z</dcterms:modified>
</cp:coreProperties>
</file>